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DD" w:rsidRPr="00462A1B" w:rsidRDefault="00462A1B" w:rsidP="000351DD">
      <w:pPr>
        <w:jc w:val="center"/>
        <w:rPr>
          <w:rFonts w:ascii="Rockwell" w:hAnsi="Rockwell"/>
          <w:b/>
          <w:sz w:val="28"/>
          <w:szCs w:val="28"/>
        </w:rPr>
      </w:pPr>
      <w:bookmarkStart w:id="0" w:name="_GoBack"/>
      <w:bookmarkEnd w:id="0"/>
      <w:r w:rsidRPr="00462A1B">
        <w:rPr>
          <w:rFonts w:ascii="Rockwell" w:hAnsi="Rockwell"/>
          <w:b/>
          <w:sz w:val="28"/>
          <w:szCs w:val="28"/>
        </w:rPr>
        <w:t>Business in t</w:t>
      </w:r>
      <w:r w:rsidR="00212155" w:rsidRPr="00462A1B">
        <w:rPr>
          <w:rFonts w:ascii="Rockwell" w:hAnsi="Rockwell"/>
          <w:b/>
          <w:sz w:val="28"/>
          <w:szCs w:val="28"/>
        </w:rPr>
        <w:t>he Community Ireland</w:t>
      </w:r>
      <w:r w:rsidR="000351DD" w:rsidRPr="00462A1B">
        <w:rPr>
          <w:rFonts w:ascii="Rockwell" w:hAnsi="Rockwell"/>
          <w:b/>
          <w:sz w:val="28"/>
          <w:szCs w:val="28"/>
        </w:rPr>
        <w:t xml:space="preserve"> –Donor Charter</w:t>
      </w:r>
    </w:p>
    <w:p w:rsidR="00212155" w:rsidRPr="00462A1B" w:rsidRDefault="000351DD" w:rsidP="00A57927">
      <w:pPr>
        <w:autoSpaceDE w:val="0"/>
        <w:autoSpaceDN w:val="0"/>
        <w:adjustRightInd w:val="0"/>
        <w:spacing w:after="0" w:line="240" w:lineRule="auto"/>
        <w:jc w:val="both"/>
        <w:rPr>
          <w:rFonts w:asciiTheme="minorHAnsi" w:hAnsiTheme="minorHAnsi" w:cs="Sabon-Roman"/>
          <w:b/>
          <w:sz w:val="24"/>
          <w:szCs w:val="24"/>
        </w:rPr>
      </w:pPr>
      <w:r w:rsidRPr="00462A1B">
        <w:rPr>
          <w:rFonts w:asciiTheme="minorHAnsi" w:hAnsiTheme="minorHAnsi" w:cs="Sabon-Roman"/>
          <w:b/>
          <w:sz w:val="24"/>
          <w:szCs w:val="24"/>
        </w:rPr>
        <w:t>For Donors</w:t>
      </w:r>
    </w:p>
    <w:p w:rsidR="000351DD" w:rsidRPr="00462A1B" w:rsidRDefault="000351DD" w:rsidP="00A57927">
      <w:pPr>
        <w:autoSpaceDE w:val="0"/>
        <w:autoSpaceDN w:val="0"/>
        <w:adjustRightInd w:val="0"/>
        <w:spacing w:after="0" w:line="240" w:lineRule="auto"/>
        <w:jc w:val="both"/>
        <w:rPr>
          <w:rFonts w:asciiTheme="minorHAnsi" w:hAnsiTheme="minorHAnsi" w:cs="Sabon-Roman"/>
          <w:szCs w:val="24"/>
        </w:rPr>
      </w:pPr>
      <w:r w:rsidRPr="00462A1B">
        <w:rPr>
          <w:rFonts w:asciiTheme="minorHAnsi" w:hAnsiTheme="minorHAnsi" w:cs="Sabon-Roman"/>
          <w:szCs w:val="24"/>
        </w:rPr>
        <w:t xml:space="preserve">Donors have the right to be assured that their gifts will be used for the purposes for which they were given. </w:t>
      </w:r>
    </w:p>
    <w:p w:rsidR="000351DD" w:rsidRPr="00462A1B" w:rsidRDefault="000351DD" w:rsidP="00A57927">
      <w:pPr>
        <w:autoSpaceDE w:val="0"/>
        <w:autoSpaceDN w:val="0"/>
        <w:adjustRightInd w:val="0"/>
        <w:spacing w:after="0" w:line="240" w:lineRule="auto"/>
        <w:jc w:val="both"/>
        <w:rPr>
          <w:rFonts w:asciiTheme="minorHAnsi" w:hAnsiTheme="minorHAnsi" w:cs="Sabon-Roman"/>
          <w:szCs w:val="24"/>
        </w:rPr>
      </w:pPr>
    </w:p>
    <w:p w:rsidR="000351DD" w:rsidRPr="00462A1B" w:rsidRDefault="00212155" w:rsidP="00A57927">
      <w:pPr>
        <w:autoSpaceDE w:val="0"/>
        <w:autoSpaceDN w:val="0"/>
        <w:adjustRightInd w:val="0"/>
        <w:spacing w:after="0" w:line="240" w:lineRule="auto"/>
        <w:jc w:val="both"/>
        <w:rPr>
          <w:rFonts w:asciiTheme="minorHAnsi" w:hAnsiTheme="minorHAnsi" w:cs="Sabon-Roman"/>
          <w:szCs w:val="24"/>
        </w:rPr>
      </w:pPr>
      <w:r w:rsidRPr="00462A1B">
        <w:rPr>
          <w:rFonts w:asciiTheme="minorHAnsi" w:hAnsiTheme="minorHAnsi" w:cs="Sabon-Roman"/>
          <w:szCs w:val="24"/>
        </w:rPr>
        <w:t xml:space="preserve">Business </w:t>
      </w:r>
      <w:r w:rsidR="00462A1B">
        <w:rPr>
          <w:rFonts w:asciiTheme="minorHAnsi" w:hAnsiTheme="minorHAnsi" w:cs="Sabon-Roman"/>
          <w:szCs w:val="24"/>
        </w:rPr>
        <w:t>i</w:t>
      </w:r>
      <w:r w:rsidRPr="00462A1B">
        <w:rPr>
          <w:rFonts w:asciiTheme="minorHAnsi" w:hAnsiTheme="minorHAnsi" w:cs="Sabon-Roman"/>
          <w:szCs w:val="24"/>
        </w:rPr>
        <w:t xml:space="preserve">n </w:t>
      </w:r>
      <w:r w:rsidR="00462A1B">
        <w:rPr>
          <w:rFonts w:asciiTheme="minorHAnsi" w:hAnsiTheme="minorHAnsi" w:cs="Sabon-Roman"/>
          <w:szCs w:val="24"/>
        </w:rPr>
        <w:t>t</w:t>
      </w:r>
      <w:r w:rsidRPr="00462A1B">
        <w:rPr>
          <w:rFonts w:asciiTheme="minorHAnsi" w:hAnsiTheme="minorHAnsi" w:cs="Sabon-Roman"/>
          <w:szCs w:val="24"/>
        </w:rPr>
        <w:t>he Community Ireland (BITCI)</w:t>
      </w:r>
      <w:r w:rsidR="000351DD" w:rsidRPr="00462A1B">
        <w:rPr>
          <w:rFonts w:asciiTheme="minorHAnsi" w:hAnsiTheme="minorHAnsi" w:cs="Sabon-Roman"/>
          <w:szCs w:val="24"/>
        </w:rPr>
        <w:t xml:space="preserve"> respects the rights of donors to be informed about the causes for which </w:t>
      </w:r>
      <w:r w:rsidRPr="00462A1B">
        <w:rPr>
          <w:rFonts w:asciiTheme="minorHAnsi" w:hAnsiTheme="minorHAnsi" w:cs="Sabon-Roman"/>
          <w:szCs w:val="24"/>
        </w:rPr>
        <w:t>BITCI</w:t>
      </w:r>
      <w:r w:rsidR="000351DD" w:rsidRPr="00462A1B">
        <w:rPr>
          <w:rFonts w:asciiTheme="minorHAnsi" w:hAnsiTheme="minorHAnsi" w:cs="Sabon-Roman"/>
          <w:szCs w:val="24"/>
        </w:rPr>
        <w:t xml:space="preserve"> is fundraising; to be informed about how their donation is being used; and to have their names deleted from mailing lists or databases if so requested. </w:t>
      </w:r>
    </w:p>
    <w:p w:rsidR="000351DD" w:rsidRPr="00462A1B" w:rsidRDefault="000351DD" w:rsidP="00A57927">
      <w:pPr>
        <w:autoSpaceDE w:val="0"/>
        <w:autoSpaceDN w:val="0"/>
        <w:adjustRightInd w:val="0"/>
        <w:spacing w:after="0" w:line="240" w:lineRule="auto"/>
        <w:jc w:val="both"/>
        <w:rPr>
          <w:rFonts w:asciiTheme="minorHAnsi" w:hAnsiTheme="minorHAnsi" w:cs="Sabon-Roman"/>
          <w:sz w:val="24"/>
          <w:szCs w:val="24"/>
        </w:rPr>
      </w:pPr>
    </w:p>
    <w:p w:rsidR="00212155" w:rsidRPr="00462A1B" w:rsidRDefault="000351DD" w:rsidP="00A57927">
      <w:pPr>
        <w:pStyle w:val="NoSpacing"/>
        <w:jc w:val="both"/>
        <w:rPr>
          <w:rFonts w:asciiTheme="minorHAnsi" w:hAnsiTheme="minorHAnsi"/>
          <w:b/>
          <w:sz w:val="24"/>
          <w:szCs w:val="24"/>
        </w:rPr>
      </w:pPr>
      <w:r w:rsidRPr="00462A1B">
        <w:rPr>
          <w:rFonts w:asciiTheme="minorHAnsi" w:hAnsiTheme="minorHAnsi"/>
          <w:b/>
          <w:sz w:val="24"/>
          <w:szCs w:val="24"/>
        </w:rPr>
        <w:t>Use of Donations</w:t>
      </w:r>
    </w:p>
    <w:p w:rsidR="000351DD" w:rsidRDefault="000351DD" w:rsidP="00264AD4">
      <w:pPr>
        <w:autoSpaceDE w:val="0"/>
        <w:autoSpaceDN w:val="0"/>
        <w:adjustRightInd w:val="0"/>
        <w:spacing w:after="0" w:line="240" w:lineRule="auto"/>
        <w:jc w:val="both"/>
        <w:rPr>
          <w:rFonts w:asciiTheme="minorHAnsi" w:hAnsiTheme="minorHAnsi" w:cs="Sabon-Roman"/>
          <w:szCs w:val="24"/>
        </w:rPr>
      </w:pPr>
      <w:r w:rsidRPr="00462A1B">
        <w:rPr>
          <w:rFonts w:asciiTheme="minorHAnsi" w:hAnsiTheme="minorHAnsi" w:cs="Sabon-Roman"/>
          <w:szCs w:val="24"/>
        </w:rPr>
        <w:t>In raising funds, B</w:t>
      </w:r>
      <w:r w:rsidR="00212155" w:rsidRPr="00462A1B">
        <w:rPr>
          <w:rFonts w:asciiTheme="minorHAnsi" w:hAnsiTheme="minorHAnsi" w:cs="Sabon-Roman"/>
          <w:szCs w:val="24"/>
        </w:rPr>
        <w:t>ITCI</w:t>
      </w:r>
      <w:r w:rsidRPr="00462A1B">
        <w:rPr>
          <w:rFonts w:asciiTheme="minorHAnsi" w:hAnsiTheme="minorHAnsi" w:cs="Sabon-Roman"/>
          <w:szCs w:val="24"/>
        </w:rPr>
        <w:t xml:space="preserve"> will accurately describe its activities and needs. The organisation’s policies and practices will ensure that any donations received will be used solely to further the organisation’s mission. Where donations are made for a specific purpose, for example towards a specific thematic fund, the donor’s request will be honoured. If </w:t>
      </w:r>
      <w:r w:rsidR="00212155" w:rsidRPr="00462A1B">
        <w:rPr>
          <w:rFonts w:asciiTheme="minorHAnsi" w:hAnsiTheme="minorHAnsi" w:cs="Sabon-Roman"/>
          <w:szCs w:val="24"/>
        </w:rPr>
        <w:t>BITCI</w:t>
      </w:r>
      <w:r w:rsidRPr="00462A1B">
        <w:rPr>
          <w:rFonts w:asciiTheme="minorHAnsi" w:hAnsiTheme="minorHAnsi" w:cs="Sabon-Roman"/>
          <w:szCs w:val="24"/>
        </w:rPr>
        <w:t xml:space="preserve"> invites the general public to donate to a specific cause, then it will have a plan for handling any shortfall or excess.</w:t>
      </w:r>
    </w:p>
    <w:p w:rsidR="00462A1B" w:rsidRPr="00462A1B" w:rsidRDefault="00462A1B" w:rsidP="00264AD4">
      <w:pPr>
        <w:autoSpaceDE w:val="0"/>
        <w:autoSpaceDN w:val="0"/>
        <w:adjustRightInd w:val="0"/>
        <w:spacing w:after="0" w:line="240" w:lineRule="auto"/>
        <w:jc w:val="both"/>
        <w:rPr>
          <w:rFonts w:asciiTheme="minorHAnsi" w:hAnsiTheme="minorHAnsi" w:cs="Sabon-Roman"/>
          <w:szCs w:val="24"/>
        </w:rPr>
      </w:pPr>
    </w:p>
    <w:p w:rsidR="00212155" w:rsidRPr="00462A1B" w:rsidRDefault="000351DD" w:rsidP="00A57927">
      <w:pPr>
        <w:autoSpaceDE w:val="0"/>
        <w:autoSpaceDN w:val="0"/>
        <w:adjustRightInd w:val="0"/>
        <w:spacing w:after="0" w:line="240" w:lineRule="auto"/>
        <w:jc w:val="both"/>
        <w:rPr>
          <w:rFonts w:asciiTheme="minorHAnsi" w:hAnsiTheme="minorHAnsi" w:cs="HelveticaNeue-BoldCond"/>
          <w:b/>
          <w:bCs/>
          <w:sz w:val="24"/>
          <w:szCs w:val="24"/>
        </w:rPr>
      </w:pPr>
      <w:r w:rsidRPr="00462A1B">
        <w:rPr>
          <w:rFonts w:asciiTheme="minorHAnsi" w:hAnsiTheme="minorHAnsi" w:cs="HelveticaNeue-BoldCond"/>
          <w:b/>
          <w:bCs/>
          <w:sz w:val="24"/>
          <w:szCs w:val="24"/>
        </w:rPr>
        <w:t>Disclosure</w:t>
      </w:r>
    </w:p>
    <w:p w:rsidR="000351DD" w:rsidRPr="00462A1B" w:rsidRDefault="000351DD" w:rsidP="00A57927">
      <w:pPr>
        <w:autoSpaceDE w:val="0"/>
        <w:autoSpaceDN w:val="0"/>
        <w:adjustRightInd w:val="0"/>
        <w:spacing w:after="0" w:line="240" w:lineRule="auto"/>
        <w:jc w:val="both"/>
        <w:rPr>
          <w:rFonts w:asciiTheme="minorHAnsi" w:hAnsiTheme="minorHAnsi" w:cs="Sabon-Roman"/>
          <w:szCs w:val="24"/>
        </w:rPr>
      </w:pPr>
      <w:r w:rsidRPr="00462A1B">
        <w:rPr>
          <w:rFonts w:asciiTheme="minorHAnsi" w:hAnsiTheme="minorHAnsi" w:cs="Sabon-Roman"/>
          <w:szCs w:val="24"/>
        </w:rPr>
        <w:t xml:space="preserve">Donors have the right to be informed of the status and authority of those soliciting donations. </w:t>
      </w:r>
      <w:r w:rsidR="00212155" w:rsidRPr="00462A1B">
        <w:rPr>
          <w:rFonts w:asciiTheme="minorHAnsi" w:hAnsiTheme="minorHAnsi" w:cs="Sabon-Roman"/>
          <w:szCs w:val="24"/>
        </w:rPr>
        <w:t>BITCI</w:t>
      </w:r>
      <w:r w:rsidRPr="00462A1B">
        <w:rPr>
          <w:rFonts w:asciiTheme="minorHAnsi" w:hAnsiTheme="minorHAnsi" w:cs="Sabon-Roman"/>
          <w:szCs w:val="24"/>
        </w:rPr>
        <w:t xml:space="preserve"> does not use paid third party agents.</w:t>
      </w:r>
    </w:p>
    <w:p w:rsidR="000351DD" w:rsidRPr="00462A1B" w:rsidRDefault="000351DD" w:rsidP="00A57927">
      <w:pPr>
        <w:autoSpaceDE w:val="0"/>
        <w:autoSpaceDN w:val="0"/>
        <w:adjustRightInd w:val="0"/>
        <w:spacing w:after="0" w:line="240" w:lineRule="auto"/>
        <w:jc w:val="both"/>
        <w:rPr>
          <w:rFonts w:asciiTheme="minorHAnsi" w:hAnsiTheme="minorHAnsi" w:cs="Sabon-Roman"/>
          <w:sz w:val="24"/>
          <w:szCs w:val="24"/>
        </w:rPr>
      </w:pPr>
    </w:p>
    <w:p w:rsidR="00EC3202" w:rsidRPr="00462A1B" w:rsidRDefault="00EC3202" w:rsidP="00EC3202">
      <w:pPr>
        <w:autoSpaceDE w:val="0"/>
        <w:autoSpaceDN w:val="0"/>
        <w:adjustRightInd w:val="0"/>
        <w:spacing w:after="0" w:line="240" w:lineRule="auto"/>
        <w:jc w:val="both"/>
        <w:rPr>
          <w:rFonts w:asciiTheme="minorHAnsi" w:hAnsiTheme="minorHAnsi" w:cs="HelveticaNeue-BoldCond"/>
          <w:b/>
          <w:bCs/>
          <w:sz w:val="24"/>
          <w:szCs w:val="24"/>
        </w:rPr>
      </w:pPr>
      <w:r w:rsidRPr="00462A1B">
        <w:rPr>
          <w:rFonts w:asciiTheme="minorHAnsi" w:hAnsiTheme="minorHAnsi" w:cs="HelveticaNeue-BoldCond"/>
          <w:b/>
          <w:bCs/>
          <w:sz w:val="24"/>
          <w:szCs w:val="24"/>
        </w:rPr>
        <w:t>Organisational Independence</w:t>
      </w:r>
    </w:p>
    <w:p w:rsidR="00EC3202" w:rsidRPr="00462A1B" w:rsidRDefault="00462A1B" w:rsidP="00264AD4">
      <w:pPr>
        <w:autoSpaceDE w:val="0"/>
        <w:autoSpaceDN w:val="0"/>
        <w:adjustRightInd w:val="0"/>
        <w:spacing w:after="0" w:line="240" w:lineRule="auto"/>
        <w:jc w:val="both"/>
        <w:rPr>
          <w:rFonts w:asciiTheme="minorHAnsi" w:hAnsiTheme="minorHAnsi" w:cs="Sabon-Roman"/>
          <w:szCs w:val="24"/>
        </w:rPr>
      </w:pPr>
      <w:r w:rsidRPr="00462A1B">
        <w:rPr>
          <w:rFonts w:asciiTheme="minorHAnsi" w:hAnsiTheme="minorHAnsi" w:cs="Sabon-Roman"/>
          <w:szCs w:val="24"/>
        </w:rPr>
        <w:t>BITCI</w:t>
      </w:r>
      <w:r w:rsidR="00EC3202" w:rsidRPr="00462A1B">
        <w:rPr>
          <w:rFonts w:asciiTheme="minorHAnsi" w:hAnsiTheme="minorHAnsi" w:cs="Sabon-Roman"/>
          <w:szCs w:val="24"/>
        </w:rPr>
        <w:t xml:space="preserve"> will record and publish in the Annual Report and the Statement of Annual Accounts details of individual gifts, including gifts-in-kind, where </w:t>
      </w:r>
      <w:r w:rsidR="00112ADB">
        <w:rPr>
          <w:rFonts w:asciiTheme="minorHAnsi" w:hAnsiTheme="minorHAnsi" w:cs="Sabon-Roman"/>
          <w:szCs w:val="24"/>
        </w:rPr>
        <w:t>BITCI</w:t>
      </w:r>
      <w:r w:rsidR="00EC3202" w:rsidRPr="00462A1B">
        <w:rPr>
          <w:rFonts w:asciiTheme="minorHAnsi" w:hAnsiTheme="minorHAnsi" w:cs="Sabon-Roman"/>
          <w:szCs w:val="24"/>
        </w:rPr>
        <w:t xml:space="preserve"> judges that those gifts may be construed to have the potential to influence the independence of the organisation’s decision making. Where anonymity is requested by a donor this will be respected subject to relevant legislation and law, however the other details of the gift may be recorded and published (such that anonymity is preserved).</w:t>
      </w:r>
    </w:p>
    <w:p w:rsidR="000351DD" w:rsidRPr="00462A1B" w:rsidRDefault="000351DD" w:rsidP="00A57927">
      <w:pPr>
        <w:autoSpaceDE w:val="0"/>
        <w:autoSpaceDN w:val="0"/>
        <w:adjustRightInd w:val="0"/>
        <w:spacing w:after="0" w:line="240" w:lineRule="auto"/>
        <w:jc w:val="both"/>
        <w:rPr>
          <w:rFonts w:asciiTheme="minorHAnsi" w:hAnsiTheme="minorHAnsi" w:cs="HelveticaNeue-BoldCond"/>
          <w:b/>
          <w:bCs/>
          <w:szCs w:val="24"/>
        </w:rPr>
      </w:pPr>
    </w:p>
    <w:p w:rsidR="00212155" w:rsidRPr="00462A1B" w:rsidRDefault="000351DD" w:rsidP="00A57927">
      <w:pPr>
        <w:autoSpaceDE w:val="0"/>
        <w:autoSpaceDN w:val="0"/>
        <w:adjustRightInd w:val="0"/>
        <w:spacing w:after="0" w:line="240" w:lineRule="auto"/>
        <w:jc w:val="both"/>
        <w:rPr>
          <w:rFonts w:asciiTheme="minorHAnsi" w:hAnsiTheme="minorHAnsi" w:cs="HelveticaNeue-BoldCond"/>
          <w:b/>
          <w:bCs/>
          <w:sz w:val="24"/>
          <w:szCs w:val="24"/>
        </w:rPr>
      </w:pPr>
      <w:r w:rsidRPr="00462A1B">
        <w:rPr>
          <w:rFonts w:asciiTheme="minorHAnsi" w:hAnsiTheme="minorHAnsi" w:cs="HelveticaNeue-BoldCond"/>
          <w:b/>
          <w:bCs/>
          <w:sz w:val="24"/>
          <w:szCs w:val="24"/>
        </w:rPr>
        <w:t xml:space="preserve">Volunteers </w:t>
      </w:r>
    </w:p>
    <w:p w:rsidR="000351DD" w:rsidRPr="00462A1B" w:rsidRDefault="00212155" w:rsidP="00A57927">
      <w:pPr>
        <w:autoSpaceDE w:val="0"/>
        <w:autoSpaceDN w:val="0"/>
        <w:adjustRightInd w:val="0"/>
        <w:spacing w:after="0" w:line="240" w:lineRule="auto"/>
        <w:jc w:val="both"/>
        <w:rPr>
          <w:rFonts w:asciiTheme="minorHAnsi" w:hAnsiTheme="minorHAnsi" w:cs="Sabon-Roman"/>
          <w:szCs w:val="24"/>
        </w:rPr>
      </w:pPr>
      <w:r w:rsidRPr="00462A1B">
        <w:rPr>
          <w:rFonts w:asciiTheme="minorHAnsi" w:hAnsiTheme="minorHAnsi" w:cs="Sabon-Roman"/>
          <w:szCs w:val="24"/>
        </w:rPr>
        <w:t>BITCI</w:t>
      </w:r>
      <w:r w:rsidR="000351DD" w:rsidRPr="00462A1B">
        <w:rPr>
          <w:rFonts w:asciiTheme="minorHAnsi" w:hAnsiTheme="minorHAnsi" w:cs="Sabon-Roman"/>
          <w:szCs w:val="24"/>
        </w:rPr>
        <w:t xml:space="preserve">’s board and management </w:t>
      </w:r>
      <w:r w:rsidR="00EC63F6" w:rsidRPr="00462A1B">
        <w:rPr>
          <w:rFonts w:asciiTheme="minorHAnsi" w:hAnsiTheme="minorHAnsi" w:cs="Sabon-Roman"/>
          <w:szCs w:val="24"/>
        </w:rPr>
        <w:t>have</w:t>
      </w:r>
      <w:r w:rsidR="000351DD" w:rsidRPr="00462A1B">
        <w:rPr>
          <w:rFonts w:asciiTheme="minorHAnsi" w:hAnsiTheme="minorHAnsi" w:cs="Sabon-Roman"/>
          <w:szCs w:val="24"/>
        </w:rPr>
        <w:t xml:space="preserve"> a detailed policy for its activities involving volunteers, including the relationship and communications with volunteers and how volunteers are managed.</w:t>
      </w:r>
    </w:p>
    <w:p w:rsidR="000351DD" w:rsidRPr="00462A1B" w:rsidRDefault="000351DD" w:rsidP="00A57927">
      <w:pPr>
        <w:autoSpaceDE w:val="0"/>
        <w:autoSpaceDN w:val="0"/>
        <w:adjustRightInd w:val="0"/>
        <w:spacing w:after="0" w:line="240" w:lineRule="auto"/>
        <w:jc w:val="both"/>
        <w:rPr>
          <w:rFonts w:asciiTheme="minorHAnsi" w:hAnsiTheme="minorHAnsi" w:cs="Sabon-Roman"/>
          <w:szCs w:val="24"/>
        </w:rPr>
      </w:pPr>
    </w:p>
    <w:p w:rsidR="00212155" w:rsidRPr="00462A1B" w:rsidRDefault="000351DD" w:rsidP="00A57927">
      <w:pPr>
        <w:autoSpaceDE w:val="0"/>
        <w:autoSpaceDN w:val="0"/>
        <w:adjustRightInd w:val="0"/>
        <w:spacing w:after="0" w:line="240" w:lineRule="auto"/>
        <w:jc w:val="both"/>
        <w:rPr>
          <w:rFonts w:asciiTheme="minorHAnsi" w:hAnsiTheme="minorHAnsi" w:cs="HelveticaNeue-BoldCond"/>
          <w:b/>
          <w:bCs/>
          <w:sz w:val="24"/>
          <w:szCs w:val="24"/>
        </w:rPr>
      </w:pPr>
      <w:r w:rsidRPr="00462A1B">
        <w:rPr>
          <w:rFonts w:asciiTheme="minorHAnsi" w:hAnsiTheme="minorHAnsi" w:cs="HelveticaNeue-BoldCond"/>
          <w:b/>
          <w:bCs/>
          <w:sz w:val="24"/>
          <w:szCs w:val="24"/>
        </w:rPr>
        <w:t>Complaints and feedback procedure</w:t>
      </w:r>
    </w:p>
    <w:p w:rsidR="000351DD" w:rsidRPr="00462A1B" w:rsidRDefault="00212155" w:rsidP="00A57927">
      <w:pPr>
        <w:autoSpaceDE w:val="0"/>
        <w:autoSpaceDN w:val="0"/>
        <w:adjustRightInd w:val="0"/>
        <w:spacing w:after="0" w:line="240" w:lineRule="auto"/>
        <w:jc w:val="both"/>
        <w:rPr>
          <w:rFonts w:asciiTheme="minorHAnsi" w:hAnsiTheme="minorHAnsi" w:cs="Sabon-Roman"/>
          <w:szCs w:val="24"/>
        </w:rPr>
      </w:pPr>
      <w:r w:rsidRPr="00462A1B">
        <w:rPr>
          <w:rFonts w:asciiTheme="minorHAnsi" w:hAnsiTheme="minorHAnsi" w:cs="Sabon-Roman"/>
          <w:szCs w:val="24"/>
        </w:rPr>
        <w:t>BITCI</w:t>
      </w:r>
      <w:r w:rsidR="000351DD" w:rsidRPr="00462A1B">
        <w:rPr>
          <w:rFonts w:asciiTheme="minorHAnsi" w:hAnsiTheme="minorHAnsi" w:cs="Sabon-Roman"/>
          <w:szCs w:val="24"/>
        </w:rPr>
        <w:t xml:space="preserve"> has put in place procedures to enable interested parties to notify the organisation of their wishes, comments and complaints. In the first instance, please contact Moira Horgan, with any issues (Tel: 01 874 7232) or by email mhorgan@bitc.ie).  Where </w:t>
      </w:r>
      <w:r w:rsidRPr="00462A1B">
        <w:rPr>
          <w:rFonts w:asciiTheme="minorHAnsi" w:hAnsiTheme="minorHAnsi" w:cs="Sabon-Roman"/>
          <w:szCs w:val="24"/>
        </w:rPr>
        <w:t>BITCI</w:t>
      </w:r>
      <w:r w:rsidR="000351DD" w:rsidRPr="00462A1B">
        <w:rPr>
          <w:rFonts w:asciiTheme="minorHAnsi" w:hAnsiTheme="minorHAnsi" w:cs="Sabon-Roman"/>
          <w:szCs w:val="24"/>
        </w:rPr>
        <w:t xml:space="preserve">’s response does not satisfy the complainant, the CEO and, if necessary, the FAIG sub-committee and ultimately, if necessary, the Board will review the complaint. The mailing address is </w:t>
      </w:r>
      <w:r w:rsidR="00A57927" w:rsidRPr="00462A1B">
        <w:rPr>
          <w:rFonts w:asciiTheme="minorHAnsi" w:hAnsiTheme="minorHAnsi" w:cs="Sabon-Roman"/>
          <w:szCs w:val="24"/>
        </w:rPr>
        <w:t xml:space="preserve">3rd Floor Phibsborough Tower, Phibsborough Road, Dublin 7, </w:t>
      </w:r>
      <w:proofErr w:type="gramStart"/>
      <w:r w:rsidR="00A57927" w:rsidRPr="00462A1B">
        <w:rPr>
          <w:rFonts w:asciiTheme="minorHAnsi" w:hAnsiTheme="minorHAnsi" w:cs="Sabon-Roman"/>
          <w:szCs w:val="24"/>
        </w:rPr>
        <w:t>D07</w:t>
      </w:r>
      <w:proofErr w:type="gramEnd"/>
      <w:r w:rsidR="00A57927" w:rsidRPr="00462A1B">
        <w:rPr>
          <w:rFonts w:asciiTheme="minorHAnsi" w:hAnsiTheme="minorHAnsi" w:cs="Sabon-Roman"/>
          <w:szCs w:val="24"/>
        </w:rPr>
        <w:t xml:space="preserve"> XH2D.</w:t>
      </w:r>
      <w:r w:rsidR="000351DD" w:rsidRPr="00462A1B">
        <w:rPr>
          <w:rFonts w:asciiTheme="minorHAnsi" w:hAnsiTheme="minorHAnsi" w:cs="Sabon-Roman"/>
          <w:szCs w:val="24"/>
        </w:rPr>
        <w:t xml:space="preserve"> The person may also go to the Charities Commissioner if they are not satisfied. All matters of illegality should be addressed immediately to An Garda Siochána.</w:t>
      </w:r>
    </w:p>
    <w:p w:rsidR="000351DD" w:rsidRPr="00462A1B" w:rsidRDefault="000351DD" w:rsidP="00A57927">
      <w:pPr>
        <w:autoSpaceDE w:val="0"/>
        <w:autoSpaceDN w:val="0"/>
        <w:adjustRightInd w:val="0"/>
        <w:spacing w:after="0" w:line="240" w:lineRule="auto"/>
        <w:jc w:val="both"/>
        <w:rPr>
          <w:rFonts w:asciiTheme="minorHAnsi" w:hAnsiTheme="minorHAnsi" w:cs="Sabon-Roman"/>
          <w:szCs w:val="24"/>
        </w:rPr>
      </w:pPr>
    </w:p>
    <w:p w:rsidR="00264AD4" w:rsidRPr="00462A1B" w:rsidRDefault="00264AD4" w:rsidP="00A57927">
      <w:pPr>
        <w:autoSpaceDE w:val="0"/>
        <w:autoSpaceDN w:val="0"/>
        <w:adjustRightInd w:val="0"/>
        <w:spacing w:after="0" w:line="240" w:lineRule="auto"/>
        <w:jc w:val="both"/>
        <w:rPr>
          <w:rFonts w:asciiTheme="minorHAnsi" w:hAnsiTheme="minorHAnsi" w:cs="Sabon-Roman"/>
          <w:szCs w:val="24"/>
        </w:rPr>
      </w:pPr>
    </w:p>
    <w:p w:rsidR="00212155" w:rsidRPr="00462A1B" w:rsidRDefault="000351DD" w:rsidP="00A57927">
      <w:pPr>
        <w:autoSpaceDE w:val="0"/>
        <w:autoSpaceDN w:val="0"/>
        <w:adjustRightInd w:val="0"/>
        <w:spacing w:after="0" w:line="240" w:lineRule="auto"/>
        <w:jc w:val="both"/>
        <w:rPr>
          <w:rFonts w:asciiTheme="minorHAnsi" w:hAnsiTheme="minorHAnsi" w:cs="HelveticaNeue-BoldCond"/>
          <w:b/>
          <w:bCs/>
          <w:sz w:val="24"/>
          <w:szCs w:val="24"/>
        </w:rPr>
      </w:pPr>
      <w:r w:rsidRPr="00462A1B">
        <w:rPr>
          <w:rFonts w:asciiTheme="minorHAnsi" w:hAnsiTheme="minorHAnsi" w:cs="HelveticaNeue-BoldCond"/>
          <w:b/>
          <w:bCs/>
          <w:sz w:val="24"/>
          <w:szCs w:val="24"/>
        </w:rPr>
        <w:t>Financial Controls</w:t>
      </w:r>
    </w:p>
    <w:p w:rsidR="000351DD" w:rsidRPr="00462A1B" w:rsidRDefault="00212155" w:rsidP="00A57927">
      <w:pPr>
        <w:autoSpaceDE w:val="0"/>
        <w:autoSpaceDN w:val="0"/>
        <w:adjustRightInd w:val="0"/>
        <w:spacing w:after="0" w:line="240" w:lineRule="auto"/>
        <w:jc w:val="both"/>
        <w:rPr>
          <w:rFonts w:asciiTheme="minorHAnsi" w:hAnsiTheme="minorHAnsi" w:cs="Sabon-Roman"/>
          <w:szCs w:val="24"/>
        </w:rPr>
      </w:pPr>
      <w:r w:rsidRPr="00462A1B">
        <w:rPr>
          <w:rFonts w:asciiTheme="minorHAnsi" w:hAnsiTheme="minorHAnsi" w:cs="Sabon-Roman"/>
          <w:szCs w:val="24"/>
        </w:rPr>
        <w:t>BITCI</w:t>
      </w:r>
      <w:r w:rsidR="000351DD" w:rsidRPr="00462A1B">
        <w:rPr>
          <w:rFonts w:asciiTheme="minorHAnsi" w:hAnsiTheme="minorHAnsi" w:cs="Sabon-Roman"/>
          <w:szCs w:val="24"/>
        </w:rPr>
        <w:t xml:space="preserve"> seeks to be best in class in governance issues and will follow the principles of best practice in financial management. A sub-committee (FAIG) of the board oversees internal financial control procedures and the Board of </w:t>
      </w:r>
      <w:r w:rsidRPr="00462A1B">
        <w:rPr>
          <w:rFonts w:asciiTheme="minorHAnsi" w:hAnsiTheme="minorHAnsi" w:cs="Sabon-Roman"/>
          <w:szCs w:val="24"/>
        </w:rPr>
        <w:t>BITCI</w:t>
      </w:r>
      <w:r w:rsidR="000351DD" w:rsidRPr="00462A1B">
        <w:rPr>
          <w:rFonts w:asciiTheme="minorHAnsi" w:hAnsiTheme="minorHAnsi" w:cs="Sabon-Roman"/>
          <w:szCs w:val="24"/>
        </w:rPr>
        <w:t xml:space="preserve"> will ensure that all monetary income is used effectively and will </w:t>
      </w:r>
      <w:r w:rsidR="000351DD" w:rsidRPr="00462A1B">
        <w:rPr>
          <w:rFonts w:asciiTheme="minorHAnsi" w:hAnsiTheme="minorHAnsi" w:cs="Sabon-Roman"/>
          <w:szCs w:val="24"/>
        </w:rPr>
        <w:lastRenderedPageBreak/>
        <w:t>minimise the risk of misuse. An Annual Report and a Statement of Annual Accounts figures will be freely available to the public. Audited accounts are prepared in SORP format.</w:t>
      </w:r>
    </w:p>
    <w:p w:rsidR="000351DD" w:rsidRPr="00462A1B" w:rsidRDefault="000351DD" w:rsidP="00A57927">
      <w:pPr>
        <w:autoSpaceDE w:val="0"/>
        <w:autoSpaceDN w:val="0"/>
        <w:adjustRightInd w:val="0"/>
        <w:spacing w:after="0" w:line="240" w:lineRule="auto"/>
        <w:jc w:val="both"/>
        <w:rPr>
          <w:rFonts w:asciiTheme="minorHAnsi" w:hAnsiTheme="minorHAnsi" w:cs="Sabon-Roman"/>
          <w:sz w:val="24"/>
          <w:szCs w:val="24"/>
        </w:rPr>
      </w:pPr>
    </w:p>
    <w:p w:rsidR="00212155" w:rsidRPr="00462A1B" w:rsidRDefault="000351DD" w:rsidP="00A57927">
      <w:pPr>
        <w:autoSpaceDE w:val="0"/>
        <w:autoSpaceDN w:val="0"/>
        <w:adjustRightInd w:val="0"/>
        <w:spacing w:after="0" w:line="240" w:lineRule="auto"/>
        <w:jc w:val="both"/>
        <w:rPr>
          <w:rFonts w:asciiTheme="minorHAnsi" w:hAnsiTheme="minorHAnsi" w:cs="HelveticaNeue-BoldCond"/>
          <w:b/>
          <w:bCs/>
          <w:sz w:val="24"/>
          <w:szCs w:val="24"/>
        </w:rPr>
      </w:pPr>
      <w:r w:rsidRPr="00462A1B">
        <w:rPr>
          <w:rFonts w:asciiTheme="minorHAnsi" w:hAnsiTheme="minorHAnsi" w:cs="HelveticaNeue-BoldCond"/>
          <w:b/>
          <w:bCs/>
          <w:sz w:val="24"/>
          <w:szCs w:val="24"/>
        </w:rPr>
        <w:t>Human Resources</w:t>
      </w:r>
    </w:p>
    <w:p w:rsidR="000351DD" w:rsidRPr="00462A1B" w:rsidRDefault="00212155" w:rsidP="00A57927">
      <w:pPr>
        <w:autoSpaceDE w:val="0"/>
        <w:autoSpaceDN w:val="0"/>
        <w:adjustRightInd w:val="0"/>
        <w:spacing w:after="0" w:line="240" w:lineRule="auto"/>
        <w:jc w:val="both"/>
        <w:rPr>
          <w:rFonts w:asciiTheme="minorHAnsi" w:hAnsiTheme="minorHAnsi" w:cs="Sabon-Roman"/>
          <w:szCs w:val="24"/>
        </w:rPr>
      </w:pPr>
      <w:r w:rsidRPr="00462A1B">
        <w:rPr>
          <w:rFonts w:asciiTheme="minorHAnsi" w:hAnsiTheme="minorHAnsi" w:cs="Sabon-Roman"/>
          <w:szCs w:val="24"/>
        </w:rPr>
        <w:t>BITCI</w:t>
      </w:r>
      <w:r w:rsidR="000351DD" w:rsidRPr="00462A1B">
        <w:rPr>
          <w:rFonts w:asciiTheme="minorHAnsi" w:hAnsiTheme="minorHAnsi" w:cs="Sabon-Roman"/>
          <w:szCs w:val="24"/>
        </w:rPr>
        <w:t>’s human resource policies conform fully to</w:t>
      </w:r>
      <w:r w:rsidR="00462A1B">
        <w:rPr>
          <w:rFonts w:asciiTheme="minorHAnsi" w:hAnsiTheme="minorHAnsi" w:cs="Sabon-Roman"/>
          <w:szCs w:val="24"/>
        </w:rPr>
        <w:t xml:space="preserve"> </w:t>
      </w:r>
      <w:r w:rsidR="000351DD" w:rsidRPr="00462A1B">
        <w:rPr>
          <w:rFonts w:asciiTheme="minorHAnsi" w:hAnsiTheme="minorHAnsi" w:cs="Sabon-Roman"/>
          <w:szCs w:val="24"/>
        </w:rPr>
        <w:t xml:space="preserve">national and international labour regulations. These policies will seek to apply best practices in terms of employee and volunteer rights and health and safety at work. </w:t>
      </w:r>
      <w:r w:rsidRPr="00462A1B">
        <w:rPr>
          <w:rFonts w:asciiTheme="minorHAnsi" w:hAnsiTheme="minorHAnsi" w:cs="Sabon-Roman"/>
          <w:szCs w:val="24"/>
        </w:rPr>
        <w:t>BITCI</w:t>
      </w:r>
      <w:r w:rsidR="000351DD" w:rsidRPr="00462A1B">
        <w:rPr>
          <w:rFonts w:asciiTheme="minorHAnsi" w:hAnsiTheme="minorHAnsi" w:cs="Sabon-Roman"/>
          <w:szCs w:val="24"/>
        </w:rPr>
        <w:t>, with its sister agency The Community Foundation for Ireland has a</w:t>
      </w:r>
      <w:r w:rsidR="00EC63F6">
        <w:rPr>
          <w:rFonts w:asciiTheme="minorHAnsi" w:hAnsiTheme="minorHAnsi" w:cs="Sabon-Roman"/>
          <w:szCs w:val="24"/>
        </w:rPr>
        <w:t>chieved an ‘Excellence through P</w:t>
      </w:r>
      <w:r w:rsidR="000351DD" w:rsidRPr="00462A1B">
        <w:rPr>
          <w:rFonts w:asciiTheme="minorHAnsi" w:hAnsiTheme="minorHAnsi" w:cs="Sabon-Roman"/>
          <w:szCs w:val="24"/>
        </w:rPr>
        <w:t>eople’ award which covers many of the organisation’s internal governance and HR issues.</w:t>
      </w:r>
    </w:p>
    <w:p w:rsidR="000351DD" w:rsidRPr="00462A1B" w:rsidRDefault="000351DD" w:rsidP="00A57927">
      <w:pPr>
        <w:autoSpaceDE w:val="0"/>
        <w:autoSpaceDN w:val="0"/>
        <w:adjustRightInd w:val="0"/>
        <w:spacing w:after="0" w:line="240" w:lineRule="auto"/>
        <w:jc w:val="both"/>
        <w:rPr>
          <w:rFonts w:asciiTheme="minorHAnsi" w:hAnsiTheme="minorHAnsi" w:cs="Sabon-Roman"/>
          <w:sz w:val="24"/>
          <w:szCs w:val="24"/>
        </w:rPr>
      </w:pPr>
    </w:p>
    <w:p w:rsidR="000351DD" w:rsidRPr="00462A1B" w:rsidRDefault="000351DD" w:rsidP="00A57927">
      <w:pPr>
        <w:autoSpaceDE w:val="0"/>
        <w:autoSpaceDN w:val="0"/>
        <w:adjustRightInd w:val="0"/>
        <w:spacing w:after="0" w:line="240" w:lineRule="auto"/>
        <w:jc w:val="both"/>
        <w:rPr>
          <w:rFonts w:asciiTheme="minorHAnsi" w:hAnsiTheme="minorHAnsi" w:cs="HelveticaNeue-BoldCond"/>
          <w:b/>
          <w:bCs/>
          <w:sz w:val="24"/>
          <w:szCs w:val="24"/>
        </w:rPr>
      </w:pPr>
      <w:r w:rsidRPr="00462A1B">
        <w:rPr>
          <w:rFonts w:asciiTheme="minorHAnsi" w:hAnsiTheme="minorHAnsi" w:cs="HelveticaNeue-BoldCond"/>
          <w:b/>
          <w:bCs/>
          <w:sz w:val="24"/>
          <w:szCs w:val="24"/>
        </w:rPr>
        <w:t>Equality</w:t>
      </w:r>
    </w:p>
    <w:p w:rsidR="000351DD" w:rsidRPr="00462A1B" w:rsidRDefault="00212155" w:rsidP="00A57927">
      <w:pPr>
        <w:autoSpaceDE w:val="0"/>
        <w:autoSpaceDN w:val="0"/>
        <w:adjustRightInd w:val="0"/>
        <w:spacing w:after="0" w:line="240" w:lineRule="auto"/>
        <w:jc w:val="both"/>
        <w:rPr>
          <w:rFonts w:asciiTheme="minorHAnsi" w:hAnsiTheme="minorHAnsi" w:cs="Sabon-Roman"/>
          <w:szCs w:val="24"/>
        </w:rPr>
      </w:pPr>
      <w:r w:rsidRPr="00462A1B">
        <w:rPr>
          <w:rFonts w:asciiTheme="minorHAnsi" w:hAnsiTheme="minorHAnsi" w:cs="Sabon-Roman"/>
          <w:szCs w:val="24"/>
        </w:rPr>
        <w:t>BITCI</w:t>
      </w:r>
      <w:r w:rsidR="000351DD" w:rsidRPr="00462A1B">
        <w:rPr>
          <w:rFonts w:asciiTheme="minorHAnsi" w:hAnsiTheme="minorHAnsi" w:cs="Sabon-Roman"/>
          <w:szCs w:val="24"/>
        </w:rPr>
        <w:t xml:space="preserve"> will adhere to any equality legislation and will not tolerate discrimination in any form.</w:t>
      </w:r>
    </w:p>
    <w:p w:rsidR="000351DD" w:rsidRPr="00462A1B" w:rsidRDefault="000351DD" w:rsidP="00A57927">
      <w:pPr>
        <w:autoSpaceDE w:val="0"/>
        <w:autoSpaceDN w:val="0"/>
        <w:adjustRightInd w:val="0"/>
        <w:spacing w:after="0" w:line="240" w:lineRule="auto"/>
        <w:jc w:val="both"/>
        <w:rPr>
          <w:rFonts w:asciiTheme="minorHAnsi" w:hAnsiTheme="minorHAnsi" w:cs="Sabon-Roman"/>
          <w:sz w:val="24"/>
          <w:szCs w:val="24"/>
        </w:rPr>
      </w:pPr>
    </w:p>
    <w:p w:rsidR="00212155" w:rsidRPr="00462A1B" w:rsidRDefault="000351DD" w:rsidP="00A57927">
      <w:pPr>
        <w:autoSpaceDE w:val="0"/>
        <w:autoSpaceDN w:val="0"/>
        <w:adjustRightInd w:val="0"/>
        <w:spacing w:after="0" w:line="240" w:lineRule="auto"/>
        <w:jc w:val="both"/>
        <w:rPr>
          <w:rFonts w:asciiTheme="minorHAnsi" w:hAnsiTheme="minorHAnsi" w:cs="HelveticaNeue-BoldCond"/>
          <w:b/>
          <w:bCs/>
          <w:sz w:val="24"/>
          <w:szCs w:val="24"/>
        </w:rPr>
      </w:pPr>
      <w:r w:rsidRPr="00462A1B">
        <w:rPr>
          <w:rFonts w:asciiTheme="minorHAnsi" w:hAnsiTheme="minorHAnsi" w:cs="HelveticaNeue-BoldCond"/>
          <w:b/>
          <w:bCs/>
          <w:sz w:val="24"/>
          <w:szCs w:val="24"/>
        </w:rPr>
        <w:t>Appointment of external auditor</w:t>
      </w:r>
    </w:p>
    <w:p w:rsidR="000351DD" w:rsidRPr="00462A1B" w:rsidRDefault="000351DD" w:rsidP="00A57927">
      <w:pPr>
        <w:autoSpaceDE w:val="0"/>
        <w:autoSpaceDN w:val="0"/>
        <w:adjustRightInd w:val="0"/>
        <w:spacing w:after="0" w:line="240" w:lineRule="auto"/>
        <w:jc w:val="both"/>
        <w:rPr>
          <w:rFonts w:asciiTheme="minorHAnsi" w:hAnsiTheme="minorHAnsi" w:cs="Sabon-Roman"/>
          <w:szCs w:val="24"/>
        </w:rPr>
      </w:pPr>
      <w:r w:rsidRPr="00462A1B">
        <w:rPr>
          <w:rFonts w:asciiTheme="minorHAnsi" w:hAnsiTheme="minorHAnsi" w:cs="Sabon-Roman"/>
          <w:szCs w:val="24"/>
        </w:rPr>
        <w:t>The Foundation’s board shall appoint an external auditor or independent examiner as appropriate to audit/examine the annual accounts.</w:t>
      </w:r>
    </w:p>
    <w:p w:rsidR="000351DD" w:rsidRPr="00462A1B" w:rsidRDefault="000351DD" w:rsidP="00A57927">
      <w:pPr>
        <w:autoSpaceDE w:val="0"/>
        <w:autoSpaceDN w:val="0"/>
        <w:adjustRightInd w:val="0"/>
        <w:spacing w:after="0" w:line="240" w:lineRule="auto"/>
        <w:jc w:val="both"/>
        <w:rPr>
          <w:rFonts w:asciiTheme="minorHAnsi" w:hAnsiTheme="minorHAnsi" w:cs="Sabon-Roman"/>
          <w:szCs w:val="24"/>
        </w:rPr>
      </w:pPr>
    </w:p>
    <w:p w:rsidR="00212155" w:rsidRPr="00462A1B" w:rsidRDefault="000351DD" w:rsidP="00A57927">
      <w:pPr>
        <w:autoSpaceDE w:val="0"/>
        <w:autoSpaceDN w:val="0"/>
        <w:adjustRightInd w:val="0"/>
        <w:spacing w:after="0" w:line="240" w:lineRule="auto"/>
        <w:jc w:val="both"/>
        <w:rPr>
          <w:rFonts w:asciiTheme="minorHAnsi" w:hAnsiTheme="minorHAnsi" w:cs="Sabon-Roman"/>
          <w:szCs w:val="24"/>
        </w:rPr>
      </w:pPr>
      <w:r w:rsidRPr="00462A1B">
        <w:rPr>
          <w:rFonts w:asciiTheme="minorHAnsi" w:hAnsiTheme="minorHAnsi" w:cs="Sabon-Roman"/>
          <w:szCs w:val="24"/>
        </w:rPr>
        <w:t xml:space="preserve">Additional information about fundraising codes is available on </w:t>
      </w:r>
    </w:p>
    <w:p w:rsidR="00212155" w:rsidRPr="00462A1B" w:rsidRDefault="00212155" w:rsidP="00A57927">
      <w:pPr>
        <w:autoSpaceDE w:val="0"/>
        <w:autoSpaceDN w:val="0"/>
        <w:adjustRightInd w:val="0"/>
        <w:spacing w:after="0" w:line="240" w:lineRule="auto"/>
        <w:jc w:val="both"/>
        <w:rPr>
          <w:rFonts w:asciiTheme="minorHAnsi" w:hAnsiTheme="minorHAnsi" w:cs="Sabon-Roman"/>
          <w:szCs w:val="24"/>
        </w:rPr>
      </w:pPr>
    </w:p>
    <w:p w:rsidR="00212155" w:rsidRPr="00462A1B" w:rsidRDefault="00505D7B" w:rsidP="00A57927">
      <w:pPr>
        <w:autoSpaceDE w:val="0"/>
        <w:autoSpaceDN w:val="0"/>
        <w:adjustRightInd w:val="0"/>
        <w:spacing w:after="0" w:line="240" w:lineRule="auto"/>
        <w:jc w:val="both"/>
        <w:rPr>
          <w:rFonts w:asciiTheme="minorHAnsi" w:hAnsiTheme="minorHAnsi" w:cs="Arial"/>
          <w:color w:val="000080"/>
          <w:sz w:val="24"/>
          <w:szCs w:val="24"/>
          <w:lang w:val="en-US"/>
        </w:rPr>
      </w:pPr>
      <w:hyperlink r:id="rId8" w:history="1">
        <w:r w:rsidR="00212155" w:rsidRPr="00462A1B">
          <w:rPr>
            <w:rStyle w:val="Hyperlink"/>
            <w:rFonts w:asciiTheme="minorHAnsi" w:hAnsiTheme="minorHAnsi" w:cs="Arial"/>
            <w:sz w:val="24"/>
            <w:szCs w:val="24"/>
            <w:lang w:val="en-US"/>
          </w:rPr>
          <w:t>https://www.charitiesinstituteireland.ie/the-cii-codes</w:t>
        </w:r>
      </w:hyperlink>
      <w:r w:rsidR="00212155" w:rsidRPr="00462A1B">
        <w:rPr>
          <w:rFonts w:asciiTheme="minorHAnsi" w:hAnsiTheme="minorHAnsi" w:cs="Arial"/>
          <w:color w:val="000080"/>
          <w:sz w:val="24"/>
          <w:szCs w:val="24"/>
          <w:lang w:val="en-US"/>
        </w:rPr>
        <w:t xml:space="preserve"> </w:t>
      </w:r>
    </w:p>
    <w:p w:rsidR="00212155" w:rsidRPr="00462A1B" w:rsidRDefault="00212155" w:rsidP="00A57927">
      <w:pPr>
        <w:jc w:val="both"/>
        <w:rPr>
          <w:rFonts w:asciiTheme="minorHAnsi" w:hAnsiTheme="minorHAnsi" w:cs="Arial"/>
          <w:color w:val="000080"/>
          <w:sz w:val="24"/>
          <w:szCs w:val="24"/>
          <w:lang w:val="en-US"/>
        </w:rPr>
      </w:pPr>
    </w:p>
    <w:p w:rsidR="00212155" w:rsidRPr="00462A1B" w:rsidRDefault="00212155" w:rsidP="00A57927">
      <w:pPr>
        <w:autoSpaceDE w:val="0"/>
        <w:autoSpaceDN w:val="0"/>
        <w:adjustRightInd w:val="0"/>
        <w:spacing w:after="0" w:line="240" w:lineRule="auto"/>
        <w:jc w:val="both"/>
        <w:rPr>
          <w:rFonts w:asciiTheme="minorHAnsi" w:hAnsiTheme="minorHAnsi"/>
          <w:i/>
          <w:szCs w:val="24"/>
        </w:rPr>
      </w:pPr>
      <w:r w:rsidRPr="00462A1B">
        <w:rPr>
          <w:rFonts w:asciiTheme="minorHAnsi" w:hAnsiTheme="minorHAnsi" w:cs="Arial"/>
          <w:i/>
          <w:szCs w:val="24"/>
          <w:lang w:val="en-US"/>
        </w:rPr>
        <w:t>May 2018</w:t>
      </w:r>
    </w:p>
    <w:p w:rsidR="009432FE" w:rsidRPr="00462A1B" w:rsidRDefault="009432FE" w:rsidP="00A57927">
      <w:pPr>
        <w:jc w:val="both"/>
        <w:rPr>
          <w:rFonts w:asciiTheme="minorHAnsi" w:hAnsiTheme="minorHAnsi"/>
        </w:rPr>
      </w:pPr>
    </w:p>
    <w:sectPr w:rsidR="009432FE" w:rsidRPr="00462A1B" w:rsidSect="009272A0">
      <w:headerReference w:type="default" r:id="rId9"/>
      <w:footerReference w:type="default" r:id="rId10"/>
      <w:headerReference w:type="first" r:id="rId11"/>
      <w:footerReference w:type="first" r:id="rId12"/>
      <w:pgSz w:w="11906" w:h="16838"/>
      <w:pgMar w:top="2237"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D7B" w:rsidRDefault="00505D7B">
      <w:pPr>
        <w:spacing w:after="0" w:line="240" w:lineRule="auto"/>
      </w:pPr>
      <w:r>
        <w:separator/>
      </w:r>
    </w:p>
  </w:endnote>
  <w:endnote w:type="continuationSeparator" w:id="0">
    <w:p w:rsidR="00505D7B" w:rsidRDefault="00505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HelveticaNeue-Bold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264732"/>
      <w:docPartObj>
        <w:docPartGallery w:val="Page Numbers (Bottom of Page)"/>
        <w:docPartUnique/>
      </w:docPartObj>
    </w:sdtPr>
    <w:sdtEndPr>
      <w:rPr>
        <w:noProof/>
      </w:rPr>
    </w:sdtEndPr>
    <w:sdtContent>
      <w:p w:rsidR="008B490E" w:rsidRDefault="00CB0EDA">
        <w:pPr>
          <w:pStyle w:val="Footer"/>
          <w:jc w:val="center"/>
        </w:pPr>
        <w:r w:rsidRPr="008B490E">
          <w:rPr>
            <w:rFonts w:ascii="Rockwell" w:hAnsi="Rockwell"/>
          </w:rPr>
          <w:fldChar w:fldCharType="begin"/>
        </w:r>
        <w:r w:rsidRPr="008B490E">
          <w:rPr>
            <w:rFonts w:ascii="Rockwell" w:hAnsi="Rockwell"/>
          </w:rPr>
          <w:instrText xml:space="preserve"> PAGE   \* MERGEFORMAT </w:instrText>
        </w:r>
        <w:r w:rsidRPr="008B490E">
          <w:rPr>
            <w:rFonts w:ascii="Rockwell" w:hAnsi="Rockwell"/>
          </w:rPr>
          <w:fldChar w:fldCharType="separate"/>
        </w:r>
        <w:r w:rsidR="009515B9">
          <w:rPr>
            <w:rFonts w:ascii="Rockwell" w:hAnsi="Rockwell"/>
            <w:noProof/>
          </w:rPr>
          <w:t>1</w:t>
        </w:r>
        <w:r w:rsidRPr="008B490E">
          <w:rPr>
            <w:rFonts w:ascii="Rockwell" w:hAnsi="Rockwell"/>
            <w:noProof/>
          </w:rPr>
          <w:fldChar w:fldCharType="end"/>
        </w:r>
      </w:p>
    </w:sdtContent>
  </w:sdt>
  <w:p w:rsidR="00DB6BA6" w:rsidRDefault="00505D7B" w:rsidP="00DB6BA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3F" w:rsidRDefault="003C373F" w:rsidP="003C373F">
    <w:pPr>
      <w:pStyle w:val="Footer"/>
      <w:tabs>
        <w:tab w:val="clear" w:pos="4513"/>
      </w:tabs>
    </w:pPr>
    <w:r>
      <w:rPr>
        <w:b/>
        <w:color w:val="863663"/>
        <w:sz w:val="24"/>
        <w:szCs w:val="24"/>
      </w:rPr>
      <w:t>The Network for Responsible Business</w:t>
    </w:r>
    <w:r>
      <w:rPr>
        <w:b/>
        <w:color w:val="863663"/>
        <w:sz w:val="24"/>
        <w:szCs w:val="24"/>
      </w:rPr>
      <w:tab/>
    </w:r>
    <w:r>
      <w:rPr>
        <w:noProof/>
        <w:lang w:eastAsia="en-IE"/>
      </w:rPr>
      <w:drawing>
        <wp:anchor distT="0" distB="0" distL="114300" distR="114300" simplePos="0" relativeHeight="251662336" behindDoc="1" locked="0" layoutInCell="1" allowOverlap="1" wp14:anchorId="6DC48BA8" wp14:editId="282E9C6D">
          <wp:simplePos x="0" y="0"/>
          <wp:positionH relativeFrom="column">
            <wp:posOffset>5705475</wp:posOffset>
          </wp:positionH>
          <wp:positionV relativeFrom="paragraph">
            <wp:posOffset>-83820</wp:posOffset>
          </wp:positionV>
          <wp:extent cx="545465" cy="434340"/>
          <wp:effectExtent l="0" t="0" r="6985" b="3810"/>
          <wp:wrapThrough wrapText="bothSides">
            <wp:wrapPolygon edited="0">
              <wp:start x="0" y="0"/>
              <wp:lineTo x="0" y="20842"/>
              <wp:lineTo x="21122" y="20842"/>
              <wp:lineTo x="21122"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C-new-logo_w8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5465" cy="4343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D7B" w:rsidRDefault="00505D7B">
      <w:pPr>
        <w:spacing w:after="0" w:line="240" w:lineRule="auto"/>
      </w:pPr>
      <w:r>
        <w:separator/>
      </w:r>
    </w:p>
  </w:footnote>
  <w:footnote w:type="continuationSeparator" w:id="0">
    <w:p w:rsidR="00505D7B" w:rsidRDefault="00505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DB" w:rsidRDefault="00CB0EDA" w:rsidP="008F64DB">
    <w:pPr>
      <w:pStyle w:val="Header"/>
      <w:jc w:val="right"/>
    </w:pPr>
    <w:r>
      <w:rPr>
        <w:noProof/>
        <w:lang w:eastAsia="en-IE"/>
      </w:rPr>
      <w:drawing>
        <wp:inline distT="0" distB="0" distL="0" distR="0" wp14:anchorId="7F09F16E" wp14:editId="3B80100F">
          <wp:extent cx="1012600" cy="807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C-new-logo_w800px.png"/>
                  <pic:cNvPicPr/>
                </pic:nvPicPr>
                <pic:blipFill>
                  <a:blip r:embed="rId1">
                    <a:extLst>
                      <a:ext uri="{28A0092B-C50C-407E-A947-70E740481C1C}">
                        <a14:useLocalDpi xmlns:a14="http://schemas.microsoft.com/office/drawing/2010/main" val="0"/>
                      </a:ext>
                    </a:extLst>
                  </a:blip>
                  <a:stretch>
                    <a:fillRect/>
                  </a:stretch>
                </pic:blipFill>
                <pic:spPr>
                  <a:xfrm>
                    <a:off x="0" y="0"/>
                    <a:ext cx="1012318" cy="80729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A0" w:rsidRDefault="00CB0EDA">
    <w:pPr>
      <w:pStyle w:val="Header"/>
    </w:pPr>
    <w:r>
      <w:rPr>
        <w:noProof/>
        <w:lang w:eastAsia="en-IE"/>
      </w:rPr>
      <w:drawing>
        <wp:anchor distT="0" distB="0" distL="114300" distR="114300" simplePos="0" relativeHeight="251660288" behindDoc="1" locked="0" layoutInCell="1" allowOverlap="1" wp14:anchorId="41735E77" wp14:editId="01FBC8EF">
          <wp:simplePos x="0" y="0"/>
          <wp:positionH relativeFrom="column">
            <wp:posOffset>4781550</wp:posOffset>
          </wp:positionH>
          <wp:positionV relativeFrom="paragraph">
            <wp:posOffset>-1905</wp:posOffset>
          </wp:positionV>
          <wp:extent cx="959011" cy="7649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C-new-logo_w8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7732" cy="7639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5CD"/>
    <w:multiLevelType w:val="hybridMultilevel"/>
    <w:tmpl w:val="4AFE88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5F05D0"/>
    <w:multiLevelType w:val="hybridMultilevel"/>
    <w:tmpl w:val="6FCED3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F2402CC"/>
    <w:multiLevelType w:val="hybridMultilevel"/>
    <w:tmpl w:val="0F745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89B192B"/>
    <w:multiLevelType w:val="hybridMultilevel"/>
    <w:tmpl w:val="7AC2CE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61B15E9"/>
    <w:multiLevelType w:val="hybridMultilevel"/>
    <w:tmpl w:val="4026793A"/>
    <w:lvl w:ilvl="0" w:tplc="4CE44530">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8BD5FCA"/>
    <w:multiLevelType w:val="hybridMultilevel"/>
    <w:tmpl w:val="F1A4B926"/>
    <w:lvl w:ilvl="0" w:tplc="F09E701A">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3A896863"/>
    <w:multiLevelType w:val="hybridMultilevel"/>
    <w:tmpl w:val="B77811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4FA5AEA"/>
    <w:multiLevelType w:val="hybridMultilevel"/>
    <w:tmpl w:val="9B2A4B1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nsid w:val="4E9F0085"/>
    <w:multiLevelType w:val="hybridMultilevel"/>
    <w:tmpl w:val="4D48391C"/>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50BA43E9"/>
    <w:multiLevelType w:val="hybridMultilevel"/>
    <w:tmpl w:val="E7E874C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nsid w:val="569441DF"/>
    <w:multiLevelType w:val="hybridMultilevel"/>
    <w:tmpl w:val="ACF6E21C"/>
    <w:lvl w:ilvl="0" w:tplc="650E4EDC">
      <w:start w:val="1"/>
      <w:numFmt w:val="bullet"/>
      <w:lvlText w:val=""/>
      <w:lvlJc w:val="left"/>
      <w:pPr>
        <w:ind w:left="765" w:hanging="360"/>
      </w:pPr>
      <w:rPr>
        <w:rFonts w:ascii="Symbol" w:hAnsi="Symbol" w:hint="default"/>
        <w:color w:val="6D193D"/>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1">
    <w:nsid w:val="58630DF9"/>
    <w:multiLevelType w:val="hybridMultilevel"/>
    <w:tmpl w:val="927C474C"/>
    <w:lvl w:ilvl="0" w:tplc="9820B1AE">
      <w:start w:val="1"/>
      <w:numFmt w:val="bullet"/>
      <w:pStyle w:val="BITCIBulletlist"/>
      <w:lvlText w:val=""/>
      <w:lvlJc w:val="left"/>
      <w:pPr>
        <w:ind w:left="720" w:hanging="360"/>
      </w:pPr>
      <w:rPr>
        <w:rFonts w:ascii="Symbol" w:hAnsi="Symbol" w:hint="default"/>
        <w:color w:val="863663"/>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C00014A"/>
    <w:multiLevelType w:val="hybridMultilevel"/>
    <w:tmpl w:val="0C46310E"/>
    <w:lvl w:ilvl="0" w:tplc="18090001">
      <w:start w:val="1"/>
      <w:numFmt w:val="bullet"/>
      <w:lvlText w:val=""/>
      <w:lvlJc w:val="left"/>
      <w:pPr>
        <w:ind w:left="720" w:hanging="360"/>
      </w:pPr>
      <w:rPr>
        <w:rFonts w:ascii="Symbol" w:hAnsi="Symbol" w:hint="default"/>
      </w:rPr>
    </w:lvl>
    <w:lvl w:ilvl="1" w:tplc="32A2B922">
      <w:numFmt w:val="bullet"/>
      <w:lvlText w:val="·"/>
      <w:lvlJc w:val="left"/>
      <w:pPr>
        <w:ind w:left="1440" w:hanging="360"/>
      </w:pPr>
      <w:rPr>
        <w:rFonts w:ascii="Calibri" w:eastAsiaTheme="minorHAnsi" w:hAnsi="Calibri" w:cstheme="minorBidi" w:hint="default"/>
        <w:color w:val="6D193D"/>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D8C5661"/>
    <w:multiLevelType w:val="hybridMultilevel"/>
    <w:tmpl w:val="0EA88B8C"/>
    <w:lvl w:ilvl="0" w:tplc="18090013">
      <w:start w:val="1"/>
      <w:numFmt w:val="upp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nsid w:val="7288287F"/>
    <w:multiLevelType w:val="hybridMultilevel"/>
    <w:tmpl w:val="705AC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7BF2D8A"/>
    <w:multiLevelType w:val="hybridMultilevel"/>
    <w:tmpl w:val="A8AEAD0C"/>
    <w:lvl w:ilvl="0" w:tplc="D33E725C">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1"/>
  </w:num>
  <w:num w:numId="2">
    <w:abstractNumId w:val="11"/>
  </w:num>
  <w:num w:numId="3">
    <w:abstractNumId w:val="0"/>
  </w:num>
  <w:num w:numId="4">
    <w:abstractNumId w:val="4"/>
  </w:num>
  <w:num w:numId="5">
    <w:abstractNumId w:val="1"/>
  </w:num>
  <w:num w:numId="6">
    <w:abstractNumId w:val="1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8"/>
  </w:num>
  <w:num w:numId="11">
    <w:abstractNumId w:val="3"/>
  </w:num>
  <w:num w:numId="12">
    <w:abstractNumId w:val="6"/>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yMDY1NjG0NLI0MTJX0lEKTi0uzszPAykwNKgFAJIciPwtAAAA"/>
  </w:docVars>
  <w:rsids>
    <w:rsidRoot w:val="00CB0EDA"/>
    <w:rsid w:val="0001623A"/>
    <w:rsid w:val="000351DD"/>
    <w:rsid w:val="00045316"/>
    <w:rsid w:val="000B536A"/>
    <w:rsid w:val="000D1349"/>
    <w:rsid w:val="00112ADB"/>
    <w:rsid w:val="0020797E"/>
    <w:rsid w:val="00212155"/>
    <w:rsid w:val="0021353D"/>
    <w:rsid w:val="0025387A"/>
    <w:rsid w:val="00264AD4"/>
    <w:rsid w:val="00275A7E"/>
    <w:rsid w:val="00291BAA"/>
    <w:rsid w:val="002B2A1C"/>
    <w:rsid w:val="002D7D85"/>
    <w:rsid w:val="00334650"/>
    <w:rsid w:val="0034569B"/>
    <w:rsid w:val="00357D1E"/>
    <w:rsid w:val="00385DBF"/>
    <w:rsid w:val="00386E82"/>
    <w:rsid w:val="003C373F"/>
    <w:rsid w:val="003C7441"/>
    <w:rsid w:val="00424FBD"/>
    <w:rsid w:val="00432624"/>
    <w:rsid w:val="00454511"/>
    <w:rsid w:val="00462A1B"/>
    <w:rsid w:val="004C55E9"/>
    <w:rsid w:val="004D7887"/>
    <w:rsid w:val="004F3417"/>
    <w:rsid w:val="00505D7B"/>
    <w:rsid w:val="00551CE6"/>
    <w:rsid w:val="00635D22"/>
    <w:rsid w:val="006456A7"/>
    <w:rsid w:val="00657EA6"/>
    <w:rsid w:val="00674498"/>
    <w:rsid w:val="006823D0"/>
    <w:rsid w:val="006B1A63"/>
    <w:rsid w:val="006B6B0B"/>
    <w:rsid w:val="00737543"/>
    <w:rsid w:val="007D0CD1"/>
    <w:rsid w:val="007D704F"/>
    <w:rsid w:val="007E3318"/>
    <w:rsid w:val="007F068F"/>
    <w:rsid w:val="007F1D51"/>
    <w:rsid w:val="0081758B"/>
    <w:rsid w:val="00844C5C"/>
    <w:rsid w:val="008B54DD"/>
    <w:rsid w:val="008D269C"/>
    <w:rsid w:val="00934103"/>
    <w:rsid w:val="0094124F"/>
    <w:rsid w:val="009432FE"/>
    <w:rsid w:val="009515B9"/>
    <w:rsid w:val="00976E7C"/>
    <w:rsid w:val="00983C77"/>
    <w:rsid w:val="0098639C"/>
    <w:rsid w:val="009D6273"/>
    <w:rsid w:val="00A0036E"/>
    <w:rsid w:val="00A210E3"/>
    <w:rsid w:val="00A21EAC"/>
    <w:rsid w:val="00A57927"/>
    <w:rsid w:val="00A65543"/>
    <w:rsid w:val="00A74813"/>
    <w:rsid w:val="00A8208E"/>
    <w:rsid w:val="00A9192D"/>
    <w:rsid w:val="00A948FB"/>
    <w:rsid w:val="00AA052D"/>
    <w:rsid w:val="00B71D05"/>
    <w:rsid w:val="00B85310"/>
    <w:rsid w:val="00B86693"/>
    <w:rsid w:val="00B9441A"/>
    <w:rsid w:val="00BB450D"/>
    <w:rsid w:val="00BC58C0"/>
    <w:rsid w:val="00BD4A16"/>
    <w:rsid w:val="00BF4ED1"/>
    <w:rsid w:val="00C007C5"/>
    <w:rsid w:val="00C03619"/>
    <w:rsid w:val="00C223B6"/>
    <w:rsid w:val="00C43946"/>
    <w:rsid w:val="00C63570"/>
    <w:rsid w:val="00C95596"/>
    <w:rsid w:val="00CA0A61"/>
    <w:rsid w:val="00CA0B4B"/>
    <w:rsid w:val="00CB0EDA"/>
    <w:rsid w:val="00CC203B"/>
    <w:rsid w:val="00CC562D"/>
    <w:rsid w:val="00D06F77"/>
    <w:rsid w:val="00D272A4"/>
    <w:rsid w:val="00D368EB"/>
    <w:rsid w:val="00D42058"/>
    <w:rsid w:val="00D57E08"/>
    <w:rsid w:val="00D7693E"/>
    <w:rsid w:val="00DD5192"/>
    <w:rsid w:val="00E62D38"/>
    <w:rsid w:val="00EC3202"/>
    <w:rsid w:val="00EC63F6"/>
    <w:rsid w:val="00F009D3"/>
    <w:rsid w:val="00F24E91"/>
    <w:rsid w:val="00F42553"/>
    <w:rsid w:val="00F45A7E"/>
    <w:rsid w:val="00F90A01"/>
    <w:rsid w:val="00F97DF3"/>
    <w:rsid w:val="00FC068B"/>
    <w:rsid w:val="00FE3B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DD"/>
    <w:rPr>
      <w:rFonts w:ascii="Calibri" w:eastAsia="Calibri" w:hAnsi="Calibri" w:cs="Times New Roman"/>
    </w:rPr>
  </w:style>
  <w:style w:type="paragraph" w:styleId="Heading1">
    <w:name w:val="heading 1"/>
    <w:basedOn w:val="Normal"/>
    <w:next w:val="Normal"/>
    <w:link w:val="Heading1Char"/>
    <w:uiPriority w:val="9"/>
    <w:qFormat/>
    <w:rsid w:val="00357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7D1E"/>
    <w:pPr>
      <w:keepNext/>
      <w:keepLines/>
      <w:spacing w:before="200" w:after="0"/>
      <w:outlineLvl w:val="1"/>
    </w:pPr>
    <w:rPr>
      <w:rFonts w:ascii="Rockwell" w:eastAsiaTheme="majorEastAsia" w:hAnsi="Rockwell" w:cstheme="majorBidi"/>
      <w:bCs/>
      <w:color w:val="86366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TCIHeading1">
    <w:name w:val="BITCI Heading 1"/>
    <w:basedOn w:val="Heading1"/>
    <w:qFormat/>
    <w:rsid w:val="00357D1E"/>
    <w:rPr>
      <w:rFonts w:ascii="Rockwell" w:hAnsi="Rockwell"/>
      <w:color w:val="863663"/>
      <w:sz w:val="32"/>
    </w:rPr>
  </w:style>
  <w:style w:type="character" w:customStyle="1" w:styleId="Heading1Char">
    <w:name w:val="Heading 1 Char"/>
    <w:basedOn w:val="DefaultParagraphFont"/>
    <w:link w:val="Heading1"/>
    <w:uiPriority w:val="9"/>
    <w:rsid w:val="00357D1E"/>
    <w:rPr>
      <w:rFonts w:asciiTheme="majorHAnsi" w:eastAsiaTheme="majorEastAsia" w:hAnsiTheme="majorHAnsi" w:cstheme="majorBidi"/>
      <w:b/>
      <w:bCs/>
      <w:color w:val="365F91" w:themeColor="accent1" w:themeShade="BF"/>
      <w:sz w:val="28"/>
      <w:szCs w:val="28"/>
    </w:rPr>
  </w:style>
  <w:style w:type="paragraph" w:customStyle="1" w:styleId="BITCIHeading2">
    <w:name w:val="BITCI Heading 2"/>
    <w:basedOn w:val="BITCIHeading1"/>
    <w:qFormat/>
    <w:rsid w:val="00357D1E"/>
    <w:rPr>
      <w:b w:val="0"/>
      <w:sz w:val="28"/>
    </w:rPr>
  </w:style>
  <w:style w:type="paragraph" w:customStyle="1" w:styleId="BITCIBodyText">
    <w:name w:val="BITCI Body Text"/>
    <w:basedOn w:val="Normal"/>
    <w:qFormat/>
    <w:rsid w:val="00357D1E"/>
    <w:pPr>
      <w:spacing w:line="360" w:lineRule="auto"/>
    </w:pPr>
    <w:rPr>
      <w:rFonts w:asciiTheme="minorHAnsi" w:eastAsiaTheme="minorHAnsi" w:hAnsiTheme="minorHAnsi" w:cstheme="minorBidi"/>
      <w:color w:val="404040" w:themeColor="text1" w:themeTint="BF"/>
    </w:rPr>
  </w:style>
  <w:style w:type="paragraph" w:customStyle="1" w:styleId="BITCIBulletlist">
    <w:name w:val="BITCI Bullet list"/>
    <w:basedOn w:val="ListParagraph"/>
    <w:qFormat/>
    <w:rsid w:val="00357D1E"/>
    <w:pPr>
      <w:numPr>
        <w:numId w:val="2"/>
      </w:numPr>
      <w:spacing w:line="240" w:lineRule="auto"/>
    </w:pPr>
  </w:style>
  <w:style w:type="paragraph" w:styleId="ListParagraph">
    <w:name w:val="List Paragraph"/>
    <w:basedOn w:val="Normal"/>
    <w:uiPriority w:val="34"/>
    <w:qFormat/>
    <w:rsid w:val="00357D1E"/>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semiHidden/>
    <w:rsid w:val="00357D1E"/>
    <w:rPr>
      <w:rFonts w:ascii="Rockwell" w:eastAsiaTheme="majorEastAsia" w:hAnsi="Rockwell" w:cstheme="majorBidi"/>
      <w:bCs/>
      <w:color w:val="863663"/>
      <w:sz w:val="28"/>
      <w:szCs w:val="26"/>
    </w:rPr>
  </w:style>
  <w:style w:type="paragraph" w:styleId="Header">
    <w:name w:val="header"/>
    <w:basedOn w:val="Normal"/>
    <w:link w:val="HeaderChar"/>
    <w:uiPriority w:val="99"/>
    <w:unhideWhenUsed/>
    <w:rsid w:val="00CB0EDA"/>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B0EDA"/>
  </w:style>
  <w:style w:type="paragraph" w:styleId="Footer">
    <w:name w:val="footer"/>
    <w:basedOn w:val="Normal"/>
    <w:link w:val="FooterChar"/>
    <w:uiPriority w:val="99"/>
    <w:unhideWhenUsed/>
    <w:rsid w:val="00CB0EDA"/>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B0EDA"/>
  </w:style>
  <w:style w:type="table" w:styleId="TableGrid">
    <w:name w:val="Table Grid"/>
    <w:basedOn w:val="TableNormal"/>
    <w:uiPriority w:val="59"/>
    <w:rsid w:val="00CB0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ED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B0EDA"/>
    <w:rPr>
      <w:rFonts w:ascii="Tahoma" w:hAnsi="Tahoma" w:cs="Tahoma"/>
      <w:sz w:val="16"/>
      <w:szCs w:val="16"/>
    </w:rPr>
  </w:style>
  <w:style w:type="paragraph" w:styleId="NormalWeb">
    <w:name w:val="Normal (Web)"/>
    <w:basedOn w:val="Normal"/>
    <w:uiPriority w:val="99"/>
    <w:semiHidden/>
    <w:unhideWhenUsed/>
    <w:rsid w:val="00F45A7E"/>
    <w:pPr>
      <w:spacing w:before="100" w:beforeAutospacing="1" w:after="100" w:afterAutospacing="1" w:line="240" w:lineRule="auto"/>
    </w:pPr>
    <w:rPr>
      <w:rFonts w:ascii="Times New Roman" w:hAnsi="Times New Roman"/>
      <w:sz w:val="24"/>
      <w:szCs w:val="24"/>
      <w:lang w:val="en-US"/>
    </w:rPr>
  </w:style>
  <w:style w:type="paragraph" w:styleId="NoSpacing">
    <w:name w:val="No Spacing"/>
    <w:uiPriority w:val="1"/>
    <w:qFormat/>
    <w:rsid w:val="000351DD"/>
    <w:pPr>
      <w:spacing w:after="0" w:line="240" w:lineRule="auto"/>
    </w:pPr>
    <w:rPr>
      <w:rFonts w:ascii="Calibri" w:eastAsia="Calibri" w:hAnsi="Calibri" w:cs="Times New Roman"/>
    </w:rPr>
  </w:style>
  <w:style w:type="character" w:styleId="Hyperlink">
    <w:name w:val="Hyperlink"/>
    <w:uiPriority w:val="99"/>
    <w:unhideWhenUsed/>
    <w:rsid w:val="000351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DD"/>
    <w:rPr>
      <w:rFonts w:ascii="Calibri" w:eastAsia="Calibri" w:hAnsi="Calibri" w:cs="Times New Roman"/>
    </w:rPr>
  </w:style>
  <w:style w:type="paragraph" w:styleId="Heading1">
    <w:name w:val="heading 1"/>
    <w:basedOn w:val="Normal"/>
    <w:next w:val="Normal"/>
    <w:link w:val="Heading1Char"/>
    <w:uiPriority w:val="9"/>
    <w:qFormat/>
    <w:rsid w:val="00357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7D1E"/>
    <w:pPr>
      <w:keepNext/>
      <w:keepLines/>
      <w:spacing w:before="200" w:after="0"/>
      <w:outlineLvl w:val="1"/>
    </w:pPr>
    <w:rPr>
      <w:rFonts w:ascii="Rockwell" w:eastAsiaTheme="majorEastAsia" w:hAnsi="Rockwell" w:cstheme="majorBidi"/>
      <w:bCs/>
      <w:color w:val="86366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TCIHeading1">
    <w:name w:val="BITCI Heading 1"/>
    <w:basedOn w:val="Heading1"/>
    <w:qFormat/>
    <w:rsid w:val="00357D1E"/>
    <w:rPr>
      <w:rFonts w:ascii="Rockwell" w:hAnsi="Rockwell"/>
      <w:color w:val="863663"/>
      <w:sz w:val="32"/>
    </w:rPr>
  </w:style>
  <w:style w:type="character" w:customStyle="1" w:styleId="Heading1Char">
    <w:name w:val="Heading 1 Char"/>
    <w:basedOn w:val="DefaultParagraphFont"/>
    <w:link w:val="Heading1"/>
    <w:uiPriority w:val="9"/>
    <w:rsid w:val="00357D1E"/>
    <w:rPr>
      <w:rFonts w:asciiTheme="majorHAnsi" w:eastAsiaTheme="majorEastAsia" w:hAnsiTheme="majorHAnsi" w:cstheme="majorBidi"/>
      <w:b/>
      <w:bCs/>
      <w:color w:val="365F91" w:themeColor="accent1" w:themeShade="BF"/>
      <w:sz w:val="28"/>
      <w:szCs w:val="28"/>
    </w:rPr>
  </w:style>
  <w:style w:type="paragraph" w:customStyle="1" w:styleId="BITCIHeading2">
    <w:name w:val="BITCI Heading 2"/>
    <w:basedOn w:val="BITCIHeading1"/>
    <w:qFormat/>
    <w:rsid w:val="00357D1E"/>
    <w:rPr>
      <w:b w:val="0"/>
      <w:sz w:val="28"/>
    </w:rPr>
  </w:style>
  <w:style w:type="paragraph" w:customStyle="1" w:styleId="BITCIBodyText">
    <w:name w:val="BITCI Body Text"/>
    <w:basedOn w:val="Normal"/>
    <w:qFormat/>
    <w:rsid w:val="00357D1E"/>
    <w:pPr>
      <w:spacing w:line="360" w:lineRule="auto"/>
    </w:pPr>
    <w:rPr>
      <w:rFonts w:asciiTheme="minorHAnsi" w:eastAsiaTheme="minorHAnsi" w:hAnsiTheme="minorHAnsi" w:cstheme="minorBidi"/>
      <w:color w:val="404040" w:themeColor="text1" w:themeTint="BF"/>
    </w:rPr>
  </w:style>
  <w:style w:type="paragraph" w:customStyle="1" w:styleId="BITCIBulletlist">
    <w:name w:val="BITCI Bullet list"/>
    <w:basedOn w:val="ListParagraph"/>
    <w:qFormat/>
    <w:rsid w:val="00357D1E"/>
    <w:pPr>
      <w:numPr>
        <w:numId w:val="2"/>
      </w:numPr>
      <w:spacing w:line="240" w:lineRule="auto"/>
    </w:pPr>
  </w:style>
  <w:style w:type="paragraph" w:styleId="ListParagraph">
    <w:name w:val="List Paragraph"/>
    <w:basedOn w:val="Normal"/>
    <w:uiPriority w:val="34"/>
    <w:qFormat/>
    <w:rsid w:val="00357D1E"/>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semiHidden/>
    <w:rsid w:val="00357D1E"/>
    <w:rPr>
      <w:rFonts w:ascii="Rockwell" w:eastAsiaTheme="majorEastAsia" w:hAnsi="Rockwell" w:cstheme="majorBidi"/>
      <w:bCs/>
      <w:color w:val="863663"/>
      <w:sz w:val="28"/>
      <w:szCs w:val="26"/>
    </w:rPr>
  </w:style>
  <w:style w:type="paragraph" w:styleId="Header">
    <w:name w:val="header"/>
    <w:basedOn w:val="Normal"/>
    <w:link w:val="HeaderChar"/>
    <w:uiPriority w:val="99"/>
    <w:unhideWhenUsed/>
    <w:rsid w:val="00CB0EDA"/>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B0EDA"/>
  </w:style>
  <w:style w:type="paragraph" w:styleId="Footer">
    <w:name w:val="footer"/>
    <w:basedOn w:val="Normal"/>
    <w:link w:val="FooterChar"/>
    <w:uiPriority w:val="99"/>
    <w:unhideWhenUsed/>
    <w:rsid w:val="00CB0EDA"/>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B0EDA"/>
  </w:style>
  <w:style w:type="table" w:styleId="TableGrid">
    <w:name w:val="Table Grid"/>
    <w:basedOn w:val="TableNormal"/>
    <w:uiPriority w:val="59"/>
    <w:rsid w:val="00CB0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ED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B0EDA"/>
    <w:rPr>
      <w:rFonts w:ascii="Tahoma" w:hAnsi="Tahoma" w:cs="Tahoma"/>
      <w:sz w:val="16"/>
      <w:szCs w:val="16"/>
    </w:rPr>
  </w:style>
  <w:style w:type="paragraph" w:styleId="NormalWeb">
    <w:name w:val="Normal (Web)"/>
    <w:basedOn w:val="Normal"/>
    <w:uiPriority w:val="99"/>
    <w:semiHidden/>
    <w:unhideWhenUsed/>
    <w:rsid w:val="00F45A7E"/>
    <w:pPr>
      <w:spacing w:before="100" w:beforeAutospacing="1" w:after="100" w:afterAutospacing="1" w:line="240" w:lineRule="auto"/>
    </w:pPr>
    <w:rPr>
      <w:rFonts w:ascii="Times New Roman" w:hAnsi="Times New Roman"/>
      <w:sz w:val="24"/>
      <w:szCs w:val="24"/>
      <w:lang w:val="en-US"/>
    </w:rPr>
  </w:style>
  <w:style w:type="paragraph" w:styleId="NoSpacing">
    <w:name w:val="No Spacing"/>
    <w:uiPriority w:val="1"/>
    <w:qFormat/>
    <w:rsid w:val="000351DD"/>
    <w:pPr>
      <w:spacing w:after="0" w:line="240" w:lineRule="auto"/>
    </w:pPr>
    <w:rPr>
      <w:rFonts w:ascii="Calibri" w:eastAsia="Calibri" w:hAnsi="Calibri" w:cs="Times New Roman"/>
    </w:rPr>
  </w:style>
  <w:style w:type="character" w:styleId="Hyperlink">
    <w:name w:val="Hyperlink"/>
    <w:uiPriority w:val="99"/>
    <w:unhideWhenUsed/>
    <w:rsid w:val="00035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9754">
      <w:bodyDiv w:val="1"/>
      <w:marLeft w:val="0"/>
      <w:marRight w:val="0"/>
      <w:marTop w:val="0"/>
      <w:marBottom w:val="0"/>
      <w:divBdr>
        <w:top w:val="none" w:sz="0" w:space="0" w:color="auto"/>
        <w:left w:val="none" w:sz="0" w:space="0" w:color="auto"/>
        <w:bottom w:val="none" w:sz="0" w:space="0" w:color="auto"/>
        <w:right w:val="none" w:sz="0" w:space="0" w:color="auto"/>
      </w:divBdr>
    </w:div>
    <w:div w:id="209390376">
      <w:bodyDiv w:val="1"/>
      <w:marLeft w:val="0"/>
      <w:marRight w:val="0"/>
      <w:marTop w:val="0"/>
      <w:marBottom w:val="0"/>
      <w:divBdr>
        <w:top w:val="none" w:sz="0" w:space="0" w:color="auto"/>
        <w:left w:val="none" w:sz="0" w:space="0" w:color="auto"/>
        <w:bottom w:val="none" w:sz="0" w:space="0" w:color="auto"/>
        <w:right w:val="none" w:sz="0" w:space="0" w:color="auto"/>
      </w:divBdr>
    </w:div>
    <w:div w:id="1044133404">
      <w:bodyDiv w:val="1"/>
      <w:marLeft w:val="0"/>
      <w:marRight w:val="0"/>
      <w:marTop w:val="0"/>
      <w:marBottom w:val="0"/>
      <w:divBdr>
        <w:top w:val="none" w:sz="0" w:space="0" w:color="auto"/>
        <w:left w:val="none" w:sz="0" w:space="0" w:color="auto"/>
        <w:bottom w:val="none" w:sz="0" w:space="0" w:color="auto"/>
        <w:right w:val="none" w:sz="0" w:space="0" w:color="auto"/>
      </w:divBdr>
    </w:div>
    <w:div w:id="1700544571">
      <w:bodyDiv w:val="1"/>
      <w:marLeft w:val="0"/>
      <w:marRight w:val="0"/>
      <w:marTop w:val="0"/>
      <w:marBottom w:val="0"/>
      <w:divBdr>
        <w:top w:val="none" w:sz="0" w:space="0" w:color="auto"/>
        <w:left w:val="none" w:sz="0" w:space="0" w:color="auto"/>
        <w:bottom w:val="none" w:sz="0" w:space="0" w:color="auto"/>
        <w:right w:val="none" w:sz="0" w:space="0" w:color="auto"/>
      </w:divBdr>
    </w:div>
    <w:div w:id="214068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tiesinstituteireland.ie/the-cii-cod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Hamilton</dc:creator>
  <cp:lastModifiedBy>Nathalie Pavone</cp:lastModifiedBy>
  <cp:revision>2</cp:revision>
  <cp:lastPrinted>2018-06-06T12:40:00Z</cp:lastPrinted>
  <dcterms:created xsi:type="dcterms:W3CDTF">2019-07-25T14:02:00Z</dcterms:created>
  <dcterms:modified xsi:type="dcterms:W3CDTF">2019-07-25T14:02:00Z</dcterms:modified>
</cp:coreProperties>
</file>