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58" w:rsidRDefault="002E026A" w:rsidP="002E026A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="MS PGothic" w:hAnsi="Calibri" w:cs="Calibri"/>
          <w:b/>
          <w:bCs/>
          <w:color w:val="C00000"/>
          <w:kern w:val="24"/>
          <w:sz w:val="32"/>
          <w:szCs w:val="32"/>
          <w:lang w:val="en-GB"/>
        </w:rPr>
      </w:pPr>
      <w:bookmarkStart w:id="0" w:name="_GoBack"/>
      <w:bookmarkEnd w:id="0"/>
      <w:r>
        <w:rPr>
          <w:rFonts w:ascii="Calibri" w:eastAsia="MS PGothic" w:hAnsi="Calibri" w:cs="Calibri"/>
          <w:b/>
          <w:bCs/>
          <w:color w:val="C00000"/>
          <w:kern w:val="24"/>
          <w:sz w:val="32"/>
          <w:szCs w:val="32"/>
          <w:lang w:val="en-GB"/>
        </w:rPr>
        <w:t>Corporate Responsibility Manager</w:t>
      </w:r>
    </w:p>
    <w:p w:rsidR="002E026A" w:rsidRDefault="002E026A" w:rsidP="002E026A">
      <w:pPr>
        <w:pStyle w:val="NormalWeb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</w:pPr>
    </w:p>
    <w:p w:rsidR="002E026A" w:rsidRDefault="002E026A" w:rsidP="002E026A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  <w:t>THE ROLE</w:t>
      </w:r>
    </w:p>
    <w:p w:rsidR="002E026A" w:rsidRDefault="00782E58" w:rsidP="002E026A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>As part of Tesco Ireland’s objectives to contribute meaningfully to communities in which it operates, t</w:t>
      </w:r>
      <w:r w:rsidR="002E026A"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 xml:space="preserve">he Corporate Responsibility Manager will be responsible for </w:t>
      </w:r>
      <w:r w:rsidR="002E026A"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developing and delivering 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Tesco Ireland’s</w:t>
      </w:r>
      <w:r w:rsidR="002E026A"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 CR strategy, implementing community initiative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s</w:t>
      </w:r>
      <w:r w:rsidR="002E026A"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, and supporting Store Managers &amp; Community Champions to develop strong community relations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 across the Country</w:t>
      </w:r>
      <w:r w:rsidR="002E026A"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.  </w:t>
      </w:r>
    </w:p>
    <w:p w:rsidR="00782E58" w:rsidRDefault="00782E58" w:rsidP="002E026A">
      <w:pPr>
        <w:pStyle w:val="NormalWeb"/>
        <w:spacing w:before="0" w:beforeAutospacing="0" w:after="0" w:afterAutospacing="0"/>
        <w:jc w:val="both"/>
        <w:textAlignment w:val="baseline"/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</w:pPr>
    </w:p>
    <w:p w:rsidR="002E026A" w:rsidRDefault="002E026A" w:rsidP="002E026A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Working within the Corporate Affairs Department, the 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 xml:space="preserve">Corporate Responsibility Manager 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will work closely with the PR &amp; Marketing team. 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</w:pP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  <w:t>KEY OBJECTIVES OF THIS ROLE INCLUDE: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will develop and deliver a community engagement strategy that is aligned with key business priorities, ensuring everything we do fits with these goals and reinforces our brand values and reputation.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will work closely with colleagues in stores, particularly the Community Champions, to enhance our ability to play a role in local communities and ensure activity is aligned with overall community strategy.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are responsible fo</w:t>
      </w:r>
      <w:r w:rsidR="00782E58"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r the day to day management of 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Tesco’s charity of the year partnership, ensuring that our 15,000 colleagues are engaged, ensuring that relationships with charities / stakeholders in this space are well managed and leveraged to enhance Tesco’s brand.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co-ordinate the community and charity work throughout the store network, providing central support and guidance as required.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You will develop, deliver and monitor Tesco’s corporate social responsibility agenda to ensure that CSR activity is coordinated and measured. 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will manage the delivery of CR and Community projects.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will partne</w:t>
      </w:r>
      <w:r w:rsidR="00782E58"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r with Personnel, Internal Communications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 and Marketing to engage colleagues in our community agenda.</w:t>
      </w:r>
    </w:p>
    <w:p w:rsidR="002E026A" w:rsidRDefault="002E026A" w:rsidP="002E026A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>You will work closely with Tesco’s Group Corporate Social Responsibility team.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</w:pP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  <w:t xml:space="preserve">KEY SKILLS </w:t>
      </w:r>
      <w:r w:rsidR="00782E58"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  <w:lang w:val="en-GB"/>
        </w:rPr>
        <w:t>REQUIRED FOR THIS ROLE INCLUDE:</w:t>
      </w:r>
    </w:p>
    <w:p w:rsidR="002E026A" w:rsidRPr="002E026A" w:rsidRDefault="002E026A" w:rsidP="002E026A">
      <w:pPr>
        <w:pStyle w:val="ListParagraph"/>
        <w:numPr>
          <w:ilvl w:val="0"/>
          <w:numId w:val="5"/>
        </w:numPr>
        <w:ind w:left="426"/>
        <w:jc w:val="both"/>
        <w:textAlignment w:val="baseline"/>
        <w:rPr>
          <w:rFonts w:eastAsia="Times New Roman"/>
          <w:color w:val="C00000"/>
        </w:rPr>
      </w:pPr>
      <w:r w:rsidRPr="002E026A">
        <w:rPr>
          <w:rFonts w:ascii="Calibri" w:eastAsia="MS PGothic" w:hAnsi="Calibri" w:cs="Calibri"/>
          <w:color w:val="000000" w:themeColor="text1"/>
          <w:kern w:val="24"/>
          <w:lang w:val="en-GB"/>
        </w:rPr>
        <w:t>experience developing and delivering a Corporate Social Responsibility strategy.</w:t>
      </w:r>
    </w:p>
    <w:p w:rsidR="002E026A" w:rsidRPr="002E026A" w:rsidRDefault="002E026A" w:rsidP="002E026A">
      <w:pPr>
        <w:pStyle w:val="ListParagraph"/>
        <w:numPr>
          <w:ilvl w:val="0"/>
          <w:numId w:val="5"/>
        </w:numPr>
        <w:ind w:left="426"/>
        <w:jc w:val="both"/>
        <w:textAlignment w:val="baseline"/>
        <w:rPr>
          <w:rFonts w:eastAsia="Times New Roman"/>
          <w:color w:val="C00000"/>
        </w:rPr>
      </w:pPr>
      <w:r w:rsidRPr="002E026A">
        <w:rPr>
          <w:rFonts w:ascii="Calibri" w:eastAsia="MS PGothic" w:hAnsi="Calibri" w:cs="Calibri"/>
          <w:color w:val="000000" w:themeColor="text1"/>
          <w:kern w:val="24"/>
          <w:lang w:val="en-GB"/>
        </w:rPr>
        <w:t>experience and expertise in developing fundraising strategies.</w:t>
      </w:r>
    </w:p>
    <w:p w:rsidR="002E026A" w:rsidRPr="002E026A" w:rsidRDefault="002E026A" w:rsidP="002E026A">
      <w:pPr>
        <w:pStyle w:val="ListParagraph"/>
        <w:numPr>
          <w:ilvl w:val="0"/>
          <w:numId w:val="5"/>
        </w:numPr>
        <w:ind w:left="426"/>
        <w:jc w:val="both"/>
        <w:textAlignment w:val="baseline"/>
        <w:rPr>
          <w:rFonts w:eastAsia="Times New Roman"/>
          <w:color w:val="C00000"/>
        </w:rPr>
      </w:pPr>
      <w:r w:rsidRPr="002E026A">
        <w:rPr>
          <w:rFonts w:ascii="Calibri" w:eastAsia="MS PGothic" w:hAnsi="Calibri" w:cs="Calibri"/>
          <w:color w:val="000000" w:themeColor="text1"/>
          <w:kern w:val="24"/>
          <w:lang w:val="en-GB"/>
        </w:rPr>
        <w:t>ability to develop strong stakeholder networks.</w:t>
      </w:r>
    </w:p>
    <w:p w:rsidR="002E026A" w:rsidRPr="002E026A" w:rsidRDefault="002E026A" w:rsidP="002E026A">
      <w:pPr>
        <w:pStyle w:val="ListParagraph"/>
        <w:numPr>
          <w:ilvl w:val="0"/>
          <w:numId w:val="5"/>
        </w:numPr>
        <w:ind w:left="426"/>
        <w:jc w:val="both"/>
        <w:textAlignment w:val="baseline"/>
        <w:rPr>
          <w:rFonts w:eastAsia="Times New Roman"/>
          <w:color w:val="C00000"/>
        </w:rPr>
      </w:pPr>
      <w:r w:rsidRPr="002E026A">
        <w:rPr>
          <w:rFonts w:ascii="Calibri" w:eastAsia="MS PGothic" w:hAnsi="Calibri" w:cs="Calibri"/>
          <w:color w:val="000000" w:themeColor="text1"/>
          <w:kern w:val="24"/>
          <w:lang w:val="en-GB"/>
        </w:rPr>
        <w:t>experience managing a diverse programme of activities</w:t>
      </w:r>
      <w:r w:rsidR="00283793">
        <w:rPr>
          <w:rFonts w:ascii="Calibri" w:eastAsia="MS PGothic" w:hAnsi="Calibri" w:cs="Calibri"/>
          <w:color w:val="000000" w:themeColor="text1"/>
          <w:kern w:val="24"/>
          <w:lang w:val="en-GB"/>
        </w:rPr>
        <w:t xml:space="preserve"> and strong multi-tasking capabilities</w:t>
      </w:r>
      <w:r w:rsidRPr="002E026A">
        <w:rPr>
          <w:rFonts w:ascii="Calibri" w:eastAsia="MS PGothic" w:hAnsi="Calibri" w:cs="Calibri"/>
          <w:color w:val="000000" w:themeColor="text1"/>
          <w:kern w:val="24"/>
          <w:lang w:val="en-GB"/>
        </w:rPr>
        <w:t>.</w:t>
      </w:r>
    </w:p>
    <w:p w:rsidR="002E026A" w:rsidRPr="002E026A" w:rsidRDefault="002E026A" w:rsidP="002E026A">
      <w:pPr>
        <w:pStyle w:val="ListParagraph"/>
        <w:numPr>
          <w:ilvl w:val="0"/>
          <w:numId w:val="5"/>
        </w:numPr>
        <w:ind w:left="426"/>
        <w:jc w:val="both"/>
        <w:textAlignment w:val="baseline"/>
        <w:rPr>
          <w:rFonts w:eastAsia="Times New Roman"/>
          <w:color w:val="C00000"/>
        </w:rPr>
      </w:pPr>
      <w:r w:rsidRPr="002E026A">
        <w:rPr>
          <w:rFonts w:ascii="Calibri" w:eastAsia="MS PGothic" w:hAnsi="Calibri" w:cs="Calibri"/>
          <w:color w:val="000000" w:themeColor="text1"/>
          <w:kern w:val="24"/>
          <w:lang w:val="en-GB"/>
        </w:rPr>
        <w:t>experience working in a fast-paced collaborative environment.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</w:rPr>
      </w:pP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b/>
          <w:bCs/>
          <w:color w:val="C00000"/>
          <w:kern w:val="24"/>
          <w:sz w:val="22"/>
          <w:szCs w:val="22"/>
        </w:rPr>
        <w:t>LEADERSHIP SKILLS &amp; STYLE</w:t>
      </w:r>
    </w:p>
    <w:p w:rsidR="002E026A" w:rsidRDefault="002E026A" w:rsidP="002E026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 xml:space="preserve">Building strong working relationships </w:t>
      </w:r>
      <w:r w:rsidR="00782E58"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>internally and externally</w:t>
      </w:r>
    </w:p>
    <w:p w:rsidR="002E026A" w:rsidRDefault="002E026A" w:rsidP="002E026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>Displaying strong communication skills</w:t>
      </w:r>
    </w:p>
    <w:p w:rsidR="002E026A" w:rsidRDefault="002E026A" w:rsidP="002E026A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/>
        <w:textAlignment w:val="baseline"/>
        <w:rPr>
          <w:rFonts w:eastAsia="Times New Roman"/>
          <w:color w:val="C00000"/>
          <w:sz w:val="22"/>
        </w:rPr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US"/>
        </w:rPr>
        <w:t>Driven personal style that flourishes in a fast-paced environment.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CC0001"/>
          <w:kern w:val="24"/>
          <w:sz w:val="22"/>
          <w:szCs w:val="22"/>
          <w:lang w:val="en-GB"/>
        </w:rPr>
      </w:pP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b/>
          <w:bCs/>
          <w:color w:val="CC0001"/>
          <w:kern w:val="24"/>
          <w:sz w:val="22"/>
          <w:szCs w:val="22"/>
          <w:lang w:val="en-GB"/>
        </w:rPr>
        <w:t xml:space="preserve">OTHER RELEVANT INFORMATION   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US"/>
        </w:rPr>
        <w:t xml:space="preserve">The role reports to:  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US"/>
        </w:rPr>
        <w:tab/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>Head of Public Affairs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 xml:space="preserve">Location:            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ab/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  <w:lang w:val="en-GB"/>
        </w:rPr>
        <w:tab/>
        <w:t>Tesco Ireland Office (Dún Laoghaire)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Calibri"/>
          <w:b/>
          <w:bCs/>
          <w:color w:val="CC0001"/>
          <w:kern w:val="24"/>
          <w:sz w:val="22"/>
          <w:szCs w:val="22"/>
          <w:lang w:val="en-GB"/>
        </w:rPr>
      </w:pP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b/>
          <w:bCs/>
          <w:color w:val="CC0001"/>
          <w:kern w:val="24"/>
          <w:sz w:val="22"/>
          <w:szCs w:val="22"/>
          <w:lang w:val="en-GB"/>
        </w:rPr>
        <w:t>TO APPLY</w:t>
      </w:r>
    </w:p>
    <w:p w:rsidR="002E026A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 xml:space="preserve">Please provide a current CV and a short cover letter highlighting your relevant experience and send to </w:t>
      </w:r>
      <w:hyperlink r:id="rId6" w:history="1">
        <w:r>
          <w:rPr>
            <w:rStyle w:val="Hyperlink"/>
            <w:rFonts w:ascii="Calibri" w:eastAsia="MS PGothic" w:hAnsi="Calibri" w:cs="Calibri"/>
            <w:color w:val="000000" w:themeColor="text1"/>
            <w:kern w:val="24"/>
            <w:sz w:val="22"/>
            <w:szCs w:val="22"/>
          </w:rPr>
          <w:t>phil.mahon@tesco.ie</w:t>
        </w:r>
      </w:hyperlink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>.</w:t>
      </w:r>
    </w:p>
    <w:p w:rsidR="00AD667F" w:rsidRDefault="002E026A" w:rsidP="002E026A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 xml:space="preserve">Deadline for submission is </w:t>
      </w:r>
      <w:r w:rsidRPr="002E026A">
        <w:rPr>
          <w:rFonts w:ascii="Calibri" w:eastAsia="MS PGothic" w:hAnsi="Calibri" w:cs="Calibri"/>
          <w:b/>
          <w:color w:val="000000" w:themeColor="text1"/>
          <w:kern w:val="24"/>
          <w:sz w:val="22"/>
          <w:szCs w:val="22"/>
        </w:rPr>
        <w:t>5.30pm</w:t>
      </w:r>
      <w:r>
        <w:rPr>
          <w:rFonts w:ascii="Calibri" w:eastAsia="MS PGothic" w:hAnsi="Calibri" w:cs="Calibri"/>
          <w:color w:val="000000" w:themeColor="text1"/>
          <w:kern w:val="24"/>
          <w:sz w:val="22"/>
          <w:szCs w:val="22"/>
        </w:rPr>
        <w:t xml:space="preserve"> </w:t>
      </w:r>
      <w:r w:rsidR="00A24274"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</w:rPr>
        <w:t>Friday, 10 April 2015</w:t>
      </w:r>
      <w:r>
        <w:rPr>
          <w:rFonts w:ascii="Calibri" w:eastAsia="MS PGothic" w:hAnsi="Calibri" w:cs="Calibri"/>
          <w:b/>
          <w:bCs/>
          <w:color w:val="000000" w:themeColor="text1"/>
          <w:kern w:val="24"/>
          <w:sz w:val="22"/>
          <w:szCs w:val="22"/>
        </w:rPr>
        <w:t>.</w:t>
      </w:r>
    </w:p>
    <w:sectPr w:rsidR="00AD667F" w:rsidSect="002E026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8D"/>
    <w:multiLevelType w:val="hybridMultilevel"/>
    <w:tmpl w:val="3DBE25F8"/>
    <w:lvl w:ilvl="0" w:tplc="E8B88B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FD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5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4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00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2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A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43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6E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908C8"/>
    <w:multiLevelType w:val="hybridMultilevel"/>
    <w:tmpl w:val="1DFA6332"/>
    <w:lvl w:ilvl="0" w:tplc="F4A2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C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2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A0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C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A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7661E8"/>
    <w:multiLevelType w:val="hybridMultilevel"/>
    <w:tmpl w:val="BF3C160A"/>
    <w:lvl w:ilvl="0" w:tplc="E8B88B2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C2020"/>
    <w:multiLevelType w:val="hybridMultilevel"/>
    <w:tmpl w:val="5A76F40C"/>
    <w:lvl w:ilvl="0" w:tplc="1554A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FD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5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4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00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2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A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43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6E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E4264"/>
    <w:multiLevelType w:val="hybridMultilevel"/>
    <w:tmpl w:val="76783B58"/>
    <w:lvl w:ilvl="0" w:tplc="1598E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ED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C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C2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25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E6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7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04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A"/>
    <w:rsid w:val="00283793"/>
    <w:rsid w:val="002E026A"/>
    <w:rsid w:val="00565F9C"/>
    <w:rsid w:val="00782E58"/>
    <w:rsid w:val="00A24274"/>
    <w:rsid w:val="00AD667F"/>
    <w:rsid w:val="00D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2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2E02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E0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2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2E026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E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.mahon@tesc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ou43</dc:creator>
  <cp:lastModifiedBy>Nathalie Pavone</cp:lastModifiedBy>
  <cp:revision>2</cp:revision>
  <dcterms:created xsi:type="dcterms:W3CDTF">2015-03-26T17:01:00Z</dcterms:created>
  <dcterms:modified xsi:type="dcterms:W3CDTF">2015-03-26T17:01:00Z</dcterms:modified>
</cp:coreProperties>
</file>